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314" w:type="dxa"/>
        <w:tblLayout w:type="fixed"/>
        <w:tblLook w:val="01E0" w:firstRow="1" w:lastRow="1" w:firstColumn="1" w:lastColumn="1" w:noHBand="0" w:noVBand="0"/>
      </w:tblPr>
      <w:tblGrid>
        <w:gridCol w:w="2494"/>
        <w:gridCol w:w="1133"/>
        <w:gridCol w:w="3400"/>
        <w:gridCol w:w="1587"/>
        <w:gridCol w:w="1700"/>
      </w:tblGrid>
      <w:tr w:rsidR="001A5E1A">
        <w:trPr>
          <w:trHeight w:val="322"/>
        </w:trPr>
        <w:tc>
          <w:tcPr>
            <w:tcW w:w="1031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_bookmark_1"/>
            <w:bookmarkStart w:id="1" w:name="_GoBack"/>
            <w:bookmarkEnd w:id="0"/>
            <w:bookmarkEnd w:id="1"/>
            <w:r>
              <w:rPr>
                <w:b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</w:tr>
      <w:tr w:rsidR="001A5E1A">
        <w:trPr>
          <w:trHeight w:val="322"/>
        </w:trPr>
        <w:tc>
          <w:tcPr>
            <w:tcW w:w="10314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5E1A">
        <w:tc>
          <w:tcPr>
            <w:tcW w:w="8614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КОДЫ</w:t>
            </w:r>
          </w:p>
        </w:tc>
      </w:tr>
      <w:tr w:rsidR="001A5E1A"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по ОКУД</w:t>
            </w:r>
          </w:p>
        </w:tc>
        <w:tc>
          <w:tcPr>
            <w:tcW w:w="170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0503160</w:t>
            </w:r>
          </w:p>
        </w:tc>
      </w:tr>
      <w:tr w:rsidR="001A5E1A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spacing w:line="1" w:lineRule="auto"/>
            </w:pPr>
          </w:p>
        </w:tc>
        <w:tc>
          <w:tcPr>
            <w:tcW w:w="4533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453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533"/>
            </w:tblGrid>
            <w:tr w:rsidR="001A5E1A">
              <w:trPr>
                <w:jc w:val="center"/>
              </w:trPr>
              <w:tc>
                <w:tcPr>
                  <w:tcW w:w="45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 1 января 2022 г.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01.01.2022</w:t>
            </w:r>
          </w:p>
        </w:tc>
      </w:tr>
      <w:tr w:rsidR="001A5E1A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распорядитель, распорядитель,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1A5E1A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ПБС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</w:tr>
      <w:tr w:rsidR="001A5E1A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получатель бюджетных средств, главный администратор,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spacing w:line="1" w:lineRule="auto"/>
            </w:pPr>
          </w:p>
        </w:tc>
      </w:tr>
      <w:tr w:rsidR="001A5E1A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администратор доходов бюджета,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ОКПО</w:t>
            </w: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93361110</w:t>
            </w:r>
          </w:p>
        </w:tc>
      </w:tr>
      <w:tr w:rsidR="001A5E1A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администратор, администратор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spacing w:line="1" w:lineRule="auto"/>
              <w:jc w:val="center"/>
            </w:pPr>
          </w:p>
        </w:tc>
      </w:tr>
      <w:tr w:rsidR="001A5E1A">
        <w:trPr>
          <w:trHeight w:val="226"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источников финансирования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spacing w:line="1" w:lineRule="auto"/>
              <w:jc w:val="center"/>
            </w:pPr>
          </w:p>
        </w:tc>
      </w:tr>
      <w:tr w:rsidR="001A5E1A">
        <w:trPr>
          <w:trHeight w:val="680"/>
        </w:trPr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дефицита бюджета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Администрация городского поселения Гаврилов-Ям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по БК</w:t>
            </w:r>
          </w:p>
        </w:tc>
        <w:tc>
          <w:tcPr>
            <w:tcW w:w="1700" w:type="dxa"/>
            <w:tcBorders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874</w:t>
            </w:r>
          </w:p>
        </w:tc>
      </w:tr>
      <w:tr w:rsidR="001A5E1A">
        <w:trPr>
          <w:trHeight w:val="226"/>
        </w:trPr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бюджета</w:t>
            </w:r>
          </w:p>
        </w:tc>
        <w:tc>
          <w:tcPr>
            <w:tcW w:w="34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Бюджет городского поселения Гаврилов-Ям</w:t>
            </w: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spacing w:line="1" w:lineRule="auto"/>
              <w:jc w:val="center"/>
            </w:pPr>
          </w:p>
        </w:tc>
      </w:tr>
      <w:tr w:rsidR="001A5E1A">
        <w:tc>
          <w:tcPr>
            <w:tcW w:w="3627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(публично-правового образования)</w:t>
            </w:r>
          </w:p>
        </w:tc>
        <w:tc>
          <w:tcPr>
            <w:tcW w:w="34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ОКТМО</w:t>
            </w:r>
          </w:p>
        </w:tc>
        <w:tc>
          <w:tcPr>
            <w:tcW w:w="1700" w:type="dxa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1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700"/>
            </w:tblGrid>
            <w:tr w:rsidR="001A5E1A">
              <w:trPr>
                <w:jc w:val="center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78612101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</w:tr>
      <w:tr w:rsidR="001A5E1A">
        <w:trPr>
          <w:hidden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rPr>
                <w:vanish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1A5E1A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r>
                    <w:rPr>
                      <w:color w:val="000000"/>
                      <w:sz w:val="28"/>
                      <w:szCs w:val="28"/>
                    </w:rPr>
                    <w:t>Периодичность: месячная, квартальная, годовая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spacing w:line="1" w:lineRule="auto"/>
              <w:jc w:val="center"/>
            </w:pPr>
          </w:p>
        </w:tc>
      </w:tr>
      <w:tr w:rsidR="001A5E1A">
        <w:trPr>
          <w:hidden/>
        </w:trPr>
        <w:tc>
          <w:tcPr>
            <w:tcW w:w="7027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1A5E1A">
            <w:pPr>
              <w:rPr>
                <w:vanish/>
              </w:rPr>
            </w:pPr>
          </w:p>
          <w:tbl>
            <w:tblPr>
              <w:tblOverlap w:val="never"/>
              <w:tblW w:w="7027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27"/>
            </w:tblGrid>
            <w:tr w:rsidR="001A5E1A">
              <w:tc>
                <w:tcPr>
                  <w:tcW w:w="702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r>
                    <w:rPr>
                      <w:color w:val="000000"/>
                      <w:sz w:val="28"/>
                      <w:szCs w:val="28"/>
                    </w:rPr>
                    <w:t>Единица измерения: руб.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ОКЕИ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383</w:t>
            </w:r>
          </w:p>
        </w:tc>
      </w:tr>
    </w:tbl>
    <w:p w:rsidR="001A5E1A" w:rsidRDefault="001A5E1A">
      <w:pPr>
        <w:rPr>
          <w:vanish/>
        </w:rPr>
      </w:pPr>
      <w:bookmarkStart w:id="2" w:name="__bookmark_3"/>
      <w:bookmarkEnd w:id="2"/>
    </w:p>
    <w:tbl>
      <w:tblPr>
        <w:tblOverlap w:val="never"/>
        <w:tblW w:w="10314" w:type="dxa"/>
        <w:tblLayout w:type="fixed"/>
        <w:tblLook w:val="01E0" w:firstRow="1" w:lastRow="1" w:firstColumn="1" w:lastColumn="1" w:noHBand="0" w:noVBand="0"/>
      </w:tblPr>
      <w:tblGrid>
        <w:gridCol w:w="2494"/>
        <w:gridCol w:w="1133"/>
        <w:gridCol w:w="566"/>
        <w:gridCol w:w="2834"/>
        <w:gridCol w:w="1587"/>
        <w:gridCol w:w="1700"/>
      </w:tblGrid>
      <w:tr w:rsidR="001A5E1A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2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</w:tr>
      <w:tr w:rsidR="001A5E1A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Общие сведения</w:t>
            </w:r>
          </w:p>
          <w:p w:rsidR="001A5E1A" w:rsidRDefault="005703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1A5E1A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Полное наименование:</w:t>
                  </w:r>
                  <w:r>
                    <w:rPr>
                      <w:color w:val="000000"/>
                      <w:sz w:val="28"/>
                      <w:szCs w:val="28"/>
                    </w:rPr>
                    <w:t> Администрация городского поселения Гаврилов-Ям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Краткое наименование:</w:t>
                  </w:r>
                  <w:r>
                    <w:rPr>
                      <w:color w:val="000000"/>
                      <w:sz w:val="28"/>
                      <w:szCs w:val="28"/>
                    </w:rPr>
                    <w:t> нет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Юридический адрес:</w:t>
                  </w:r>
                  <w:r>
                    <w:rPr>
                      <w:color w:val="000000"/>
                      <w:sz w:val="28"/>
                      <w:szCs w:val="28"/>
                    </w:rPr>
                    <w:t> 152240, Ярославская область, г. Гаврилов-Ям, ул.Кирова, д. 1а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ИНН/КПП</w:t>
                  </w:r>
                  <w:r>
                    <w:rPr>
                      <w:color w:val="000000"/>
                      <w:sz w:val="28"/>
                      <w:szCs w:val="28"/>
                    </w:rPr>
                    <w:t> 7616007334/761601001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ОКПО</w:t>
                  </w:r>
                  <w:r>
                    <w:rPr>
                      <w:color w:val="000000"/>
                      <w:sz w:val="28"/>
                      <w:szCs w:val="28"/>
                    </w:rPr>
                    <w:t> – 93361110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ОКАТО</w:t>
                  </w:r>
                  <w:r>
                    <w:rPr>
                      <w:color w:val="000000"/>
                      <w:sz w:val="28"/>
                      <w:szCs w:val="28"/>
                    </w:rPr>
                    <w:t> – 78212501000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ОКТМО</w:t>
                  </w:r>
                  <w:r>
                    <w:rPr>
                      <w:color w:val="000000"/>
                      <w:sz w:val="28"/>
                      <w:szCs w:val="28"/>
                    </w:rPr>
                    <w:t> - 78612101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Организационно-правовая форма:</w:t>
                  </w:r>
                  <w:r>
                    <w:rPr>
                      <w:color w:val="000000"/>
                      <w:sz w:val="28"/>
                      <w:szCs w:val="28"/>
                    </w:rPr>
                    <w:t> учреждения (ОКОПФ – 20904)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Форма собственности: муниципальная собственность:</w:t>
                  </w:r>
                  <w:r>
                    <w:rPr>
                      <w:color w:val="000000"/>
                      <w:sz w:val="28"/>
                      <w:szCs w:val="28"/>
                    </w:rPr>
                    <w:t> (ОК</w:t>
                  </w:r>
                  <w:r>
                    <w:rPr>
                      <w:color w:val="000000"/>
                      <w:sz w:val="28"/>
                      <w:szCs w:val="28"/>
                    </w:rPr>
                    <w:t>ФС – 14)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t>Виды деятельности: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деятельность органов местного самоуправления по управлению вопросами общего характера (ОКВЭД – 84.11.3);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-деятельность органов местного самоуправления районов, городов, внутригородских районов (ОКВЭД – 84.11.31);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</w:rPr>
                    <w:lastRenderedPageBreak/>
                    <w:t>Ведомственная принадлежность:</w:t>
                  </w:r>
                  <w:r>
                    <w:rPr>
                      <w:color w:val="000000"/>
                      <w:sz w:val="28"/>
                      <w:szCs w:val="28"/>
                    </w:rPr>
                    <w:t> местные администрации (исполнительно-распорядительные органы) городских поселений (ОКОГУ – 3300400)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Администрация городского поселения Гаврилов-Ям зарегистрирована в Межрайонной инспекции Федеральной налоговой службы № 2 по Яр</w:t>
                  </w:r>
                  <w:r>
                    <w:rPr>
                      <w:color w:val="000000"/>
                      <w:sz w:val="28"/>
                      <w:szCs w:val="28"/>
                    </w:rPr>
                    <w:t>ославской области 06.12.2005г. (свидетельство серия 76 №000507643)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Администрация городского поселения Гаврилов-Ям является муниципальным образованием Ярославской области Гаврилов-Ямского района. Городское поселение образовано Законом Ярославской области от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21.12.2004г. № 65-з «О наименованиях, границах и статусе муниципальных образований Ярославской области». Администрация городского поселения Гаврилов-Ям - исполнительно-распорядительный орган местного самоуправления, наделенный полномочиями по решению вопр</w:t>
                  </w:r>
                  <w:r>
                    <w:rPr>
                      <w:color w:val="000000"/>
                      <w:sz w:val="28"/>
                      <w:szCs w:val="28"/>
                    </w:rPr>
                    <w:t>осов местного самоуправления на основании Устава. 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Городское поселение зарегистрировано 06 декабря 2005 года в соответствии с Федеральным законом «О государственной регистрации юридических лиц».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К финансово-хозяйственной деятельности городское поселение пр</w:t>
                  </w:r>
                  <w:r>
                    <w:rPr>
                      <w:color w:val="000000"/>
                      <w:sz w:val="28"/>
                      <w:szCs w:val="28"/>
                    </w:rPr>
                    <w:t>иступило 01 января 2006г.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своей деятельности Администрация городского поселения подотчетна Муниципальному Совету городского поселения Гаврилов-Ям.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Администрация осуществляет свою деятельность в соответствии с Положением, утвержденным постановлением Главы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городского поселения Гаврилов-Ям от 11.01.2006 № 2.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Основными задачами Администрации согласно п.2.1 Положения являются: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решение вопросов местного значения, относящихся к ведению Администрации городского поселения Гаврилов-Ям в соответствии с Уставом;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-с</w:t>
                  </w:r>
                  <w:r>
                    <w:rPr>
                      <w:color w:val="000000"/>
                      <w:sz w:val="28"/>
                      <w:szCs w:val="28"/>
                    </w:rPr>
                    <w:t>оздание благоприятных условий для инвестирования и эффективного выполнения программ социально-экономического развития городского поселения.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Деятельность Администрации лицензированию не подлежит.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Право первой подписи денежных и расчетных документов предоставлено: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Главе городского поселения Гаврилов-Ям Александру Николаевичу Тощигину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(решением Муниципального Совета городского поселения Гаврилов-Ям от 08.10.2019 № 10 избран на должность Главы город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поселения Гаврилов-Ям);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Право второй подписи денежных и расчетных документов предоставлено: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Заместителю Главы Администрации-начальнику отдела по финансам, экономике и бухгалтерской отчетности– главному бухгалтеру Марине Владимировне Крестиничевой (</w:t>
                  </w:r>
                  <w:r>
                    <w:rPr>
                      <w:color w:val="000000"/>
                      <w:sz w:val="28"/>
                      <w:szCs w:val="28"/>
                    </w:rPr>
                    <w:t>распоряжением от 09.01.2020 № 1-л назначена на муниципальную должность Заместителя Главы Администрации-начальника отдела по финансам, экономике и бухгалтерской отчетности - главного бухгалтера).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заместителю начальника отдела по финансам, экономике и бухг</w:t>
                  </w:r>
                  <w:r>
                    <w:rPr>
                      <w:color w:val="000000"/>
                      <w:sz w:val="28"/>
                      <w:szCs w:val="28"/>
                    </w:rPr>
                    <w:t>алтерской отчетности Ирине Вячеславовне Прялочниковой (распоряжением Главы городского поселения Гаврилов-Ям от 17.10.2018 № 164-л назначена на должность заместителя начальника отдела по финансам, экономике и бухгалтерской отчетности).</w:t>
                  </w:r>
                </w:p>
              </w:tc>
            </w:tr>
          </w:tbl>
          <w:p w:rsidR="001A5E1A" w:rsidRDefault="005703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1A5E1A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Раздел 1 «Организ</w:t>
            </w:r>
            <w:r>
              <w:rPr>
                <w:b/>
                <w:bCs/>
                <w:color w:val="000000"/>
                <w:sz w:val="28"/>
                <w:szCs w:val="28"/>
              </w:rPr>
              <w:t>ационная структура субъекта бюджетной отчетности»</w:t>
            </w:r>
          </w:p>
          <w:p w:rsidR="001A5E1A" w:rsidRDefault="005703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1A5E1A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1A5E1A" w:rsidRDefault="00570383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 администрации городского поселения Гаврилов-Ям созданы два учреждения:</w:t>
                  </w:r>
                </w:p>
                <w:p w:rsidR="001A5E1A" w:rsidRDefault="00570383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казенные:</w:t>
                  </w:r>
                </w:p>
                <w:p w:rsidR="001A5E1A" w:rsidRDefault="00570383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- МУ «Управление городского хозяйства» создано 29.06.2006г. согласно постановлению Главы городского поселения Гаврилов-Ям от 10.04.2006г. № 92</w:t>
                  </w:r>
                </w:p>
                <w:p w:rsidR="001A5E1A" w:rsidRDefault="00570383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-бюджетные:</w:t>
                  </w:r>
                </w:p>
                <w:p w:rsidR="001A5E1A" w:rsidRDefault="00570383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- МБУ «Центр развития и поддержки предпринимательства» создано 22.10.2010 г. согласно пост</w:t>
                  </w:r>
                  <w:r>
                    <w:rPr>
                      <w:color w:val="000000"/>
                      <w:sz w:val="28"/>
                      <w:szCs w:val="28"/>
                    </w:rPr>
                    <w:t>ановлению администрации городского поселения Гаврилов-Ям от 14.10.2010 г. № 422.     </w:t>
                  </w:r>
                </w:p>
              </w:tc>
            </w:tr>
          </w:tbl>
          <w:p w:rsidR="001A5E1A" w:rsidRDefault="005703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5E1A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2 «Результаты деятельности субъекта бюджетной отчетности»</w:t>
            </w:r>
          </w:p>
          <w:p w:rsidR="001A5E1A" w:rsidRDefault="005703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1A5E1A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1A5E1A" w:rsidRDefault="00570383">
                  <w:pPr>
                    <w:spacing w:before="100"/>
                    <w:ind w:firstLine="54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соответствии с Федеральным законом 44-ФЗ «О контрактной системе в сфере закупок товаров, работ, у</w:t>
                  </w:r>
                  <w:r>
                    <w:rPr>
                      <w:color w:val="000000"/>
                      <w:sz w:val="28"/>
                      <w:szCs w:val="28"/>
                    </w:rPr>
                    <w:t>слуг для обеспечения государственных и муниципальных нужд» размещение муниципальных заказов осуществляется на сайте Единой информационной системы в сфере закупок в информационно-телекоммуникационной сети «Интернет» через ГИС «Государственные закупки Яросла</w:t>
                  </w:r>
                  <w:r>
                    <w:rPr>
                      <w:color w:val="000000"/>
                      <w:sz w:val="28"/>
                      <w:szCs w:val="28"/>
                    </w:rPr>
                    <w:t>вской области». Для рассмотрения, оценки, сопоставления заявок с целью подведения итогов и определения победителей при размещении заказов создана постоянно действующая Единая комиссия в количестве 5 человек.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Функции по проведению процедур по размещению муниципального заказа в Администрации городского поселения выполняет консультант по закупкам отдела по финансам, экономике и бухгалтерской отчетности. Его персональная ответственность закрепляется в должностной </w:t>
                  </w:r>
                  <w:r>
                    <w:rPr>
                      <w:color w:val="000000"/>
                      <w:sz w:val="28"/>
                      <w:szCs w:val="28"/>
                    </w:rPr>
                    <w:t>инструкции в соответствии с требованиями законодательства.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целях эффективного расходования денежных средств и во исполнение  Федерального Закона от 05.04.2013г. № 44-ФЗ «О контрактной системе в сфере закупок товаров, работ, услуг для обеспечения государс</w:t>
                  </w:r>
                  <w:r>
                    <w:rPr>
                      <w:color w:val="000000"/>
                      <w:sz w:val="28"/>
                      <w:szCs w:val="28"/>
                    </w:rPr>
                    <w:t>твенных и муниципальных нужд»» за 2021 г. было объявлено 18 процедур, из которых проведено (завершено определение поставщика) – 12 процедур, 1 аукцион не состоялся, по причине того, что не было подано ни одной заявки, 4 аукциона отменено, 1 аукцион переход</w:t>
                  </w:r>
                  <w:r>
                    <w:rPr>
                      <w:color w:val="000000"/>
                      <w:sz w:val="28"/>
                      <w:szCs w:val="28"/>
                    </w:rPr>
                    <w:t>ящий на 2022 год – начало конкурсных процедур в 2021 году.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Общая начальная максимальная цена конкурсных процедур составила: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- 1 886 684,70 руб. процедуры на 2021 г. (из них 295 800,00 руб. процедуры 2020 г.)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- 937 800,00 руб. процедуры на 2022 г.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Фактическ</w:t>
                  </w:r>
                  <w:r>
                    <w:rPr>
                      <w:color w:val="000000"/>
                      <w:sz w:val="28"/>
                      <w:szCs w:val="28"/>
                    </w:rPr>
                    <w:t>и заключено контрактов на сумму 85476403,70 руб.,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- 1 663 382,10 руб. в 2021 г.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- 449 300,00 руб. на 2022 г.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Экономия в результате применения конкурентных способов за 2021 год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составила 223 302,60 руб. Переходящая экономия составила 38 500,00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Штаты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состоянию на 01.01.2022 г. численность работников администрации составляет 19 человек (21 штатная единица): глава - 1 чел., муниципальные служащие – 18 чел. Фактически не замещена должность первого заместителя Главы администрации и ведущего специалиста от</w:t>
                  </w:r>
                  <w:r>
                    <w:rPr>
                      <w:color w:val="000000"/>
                      <w:sz w:val="28"/>
                      <w:szCs w:val="28"/>
                    </w:rPr>
                    <w:t>дела по финансам, экономике и бухгалтерской отчетности. Среднемесячная заработная плата муниципальных служащих за отчетный период составила 30 384,00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2021 г. курсы повышения квалификации "Контрактная служба в сфере закупок для муниципальных и госуда</w:t>
                  </w:r>
                  <w:r>
                    <w:rPr>
                      <w:color w:val="000000"/>
                      <w:sz w:val="28"/>
                      <w:szCs w:val="28"/>
                    </w:rPr>
                    <w:t>рственных нужд. Контрактный управляющий» и повышение квалификации "Эффективные меры по противодействию коррупции" прошел начальник юридического отдела Администрации городского поселения Гаврилов-Ям Огороднова Н.В. Стоимость обучения составила 9 500,00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Администрация городского поселения обеспечена компьютерной техникой. Создано 20 автоматизированных рабочих мест. Техническое состояние компьютерного оборудования - удовлетворительное. За отчетный период была приобретена офисная мебель и кресла на сумму 44</w:t>
                  </w:r>
                  <w:r>
                    <w:rPr>
                      <w:color w:val="000000"/>
                      <w:sz w:val="28"/>
                      <w:szCs w:val="28"/>
                    </w:rPr>
                    <w:t>7 635,47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Основные мероприятия сохранности имущества: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заключен договор на техническое обслуживание противопожарной системы здания;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имеется видеонаблюдение и аудидомофонная система в административном здании.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Для обслуживания бухгалтерской программы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заключен договор с ООО "Спектр-Автоматика консалтинг" на сумму 45 653,00 руб. Для обновления справочно-правовой системы заключен договор с ООО "Консультант Центр" на сумму 72 000,00 руб. Для обслуживания принтеров и ксероксов заключен договор с ИП Мотохов</w:t>
                  </w:r>
                  <w:r>
                    <w:rPr>
                      <w:color w:val="000000"/>
                      <w:sz w:val="28"/>
                      <w:szCs w:val="28"/>
                    </w:rPr>
                    <w:t>а Светлана Сергеевна на сумму 24 540,00 руб. Для работы программного обеспечения «СБИС++ЭО», «УРМ АС Бюджет», Лицензия Касперского, ПП «ТехноКад», «Аренда и продажа земли», были обновлены неисключительные права и продлены права пользования на общую сумму 1</w:t>
                  </w:r>
                  <w:r>
                    <w:rPr>
                      <w:color w:val="000000"/>
                      <w:sz w:val="28"/>
                      <w:szCs w:val="28"/>
                    </w:rPr>
                    <w:t>09 130,00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Бухгалтерский отдел ведет учет согласно инструкции 157н и 162н в ПП «1С: Бухгалтерия». Расчет заработной платы осуществляется в ПП «1С: Зарплата и Кадры».   Формирование первичных документов и регистров учета ведется на типовых бланках. Учет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ведется в разрезе по каждому учреждению, свод консолидированной отчетности производится главным бухгалтером администрации. Месячная, квартальная и годовая отчетность предоставляется в Управление финансов администрации Гаврилов-Ямского муниципального район</w:t>
                  </w:r>
                  <w:r>
                    <w:rPr>
                      <w:color w:val="000000"/>
                      <w:sz w:val="28"/>
                      <w:szCs w:val="28"/>
                    </w:rPr>
                    <w:t>а с помощью ПП «WEB-Консолидация».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Для отправки банковских документов в электронном виде бухгалтерия работает в программе УРМ (удаленное рабочее место). Для получения выписок и уточнения доходов, поступающих в бюджет дохода городского поселения, осуществл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ения расходов средств федерального бюджета, бухгалтерией 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используется ПП «СУФД» (Система удаленного финансового документооборота).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Отчетность в ПФР, МРИ ФНС, ФСС, ТОФСГС осуществляется по средствам электронного документооборота через систему «СБиС++ЭО» с э</w:t>
                  </w:r>
                  <w:r>
                    <w:rPr>
                      <w:color w:val="000000"/>
                      <w:sz w:val="28"/>
                      <w:szCs w:val="28"/>
                    </w:rPr>
                    <w:t>лектронно-цифровыми подписями.</w:t>
                  </w:r>
                </w:p>
                <w:p w:rsidR="001A5E1A" w:rsidRDefault="00570383">
                  <w:pPr>
                    <w:ind w:firstLine="560"/>
                    <w:jc w:val="both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Основные положения учетной политики Администрации городского поселения Гаврилов-Ям в соответствии с принятыми федеральными стандартами:</w:t>
                  </w:r>
                </w:p>
                <w:p w:rsidR="001A5E1A" w:rsidRDefault="00570383">
                  <w:pPr>
                    <w:spacing w:before="190" w:after="190"/>
                    <w:ind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Бюджетный учет отдельных видов имущества и обязательств осуществляется в с учетом нижеука</w:t>
                  </w:r>
                  <w:r>
                    <w:rPr>
                      <w:color w:val="000000"/>
                      <w:sz w:val="28"/>
                      <w:szCs w:val="28"/>
                    </w:rPr>
                    <w:t>занных особенностей: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срок полезного использования объекта основных средств определяется исходя из ожидаемого срока получения экономических выгод и (или) полезного потенциала, заключенного в активе, в порядке, установленном п.35 Стандарта «Основные средства»), п.44 Инструкции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№157н, комиссией по поступлению и выбытию активов;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амортизация по всем основным средствам начисляется линейным методом в последний рабочий день месяца;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компьютер, в состав которого входят объединенные в один инвентарный объект системный блок, клавиат</w:t>
                  </w:r>
                  <w:r>
                    <w:rPr>
                      <w:color w:val="000000"/>
                      <w:sz w:val="28"/>
                      <w:szCs w:val="28"/>
                    </w:rPr>
                    <w:t>ура, компьютерная мышь, монитор, источник бесперебойного питания, признается комплексом объектов основных средств;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все прочие объекты основных средств учитываются как отдельные инвентарные объекты;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каждому инвентарному объекту основных средств присваив</w:t>
                  </w:r>
                  <w:r>
                    <w:rPr>
                      <w:color w:val="000000"/>
                      <w:sz w:val="28"/>
                      <w:szCs w:val="28"/>
                    </w:rPr>
                    <w:t>ается инвентарный номер, состоящий из 7 знаков с учетом технической возможности 1С;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случае если объект является комплексом объектов основных средств, инвентарный номер обозначается на каждой части комплекса;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основные средства, выявленные при инвентар</w:t>
                  </w:r>
                  <w:r>
                    <w:rPr>
                      <w:color w:val="000000"/>
                      <w:sz w:val="28"/>
                      <w:szCs w:val="28"/>
                    </w:rPr>
                    <w:t>изации, принимаются к учету по справедливой стоимости, определенной комиссией по поступлению и выбытию активов методом рыночных цен; 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балансовая стоимость объекта основных средств группы «Машины и оборудование» увеличивается на стоимость затрат по замене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отдельных составных частей в случае модернизации, частичной ликвидации (разукомплектации) при условии,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</w:t>
                  </w:r>
                  <w:r>
                    <w:rPr>
                      <w:color w:val="000000"/>
                      <w:sz w:val="28"/>
                      <w:szCs w:val="28"/>
                    </w:rPr>
                    <w:t>уется такая замена, в том числе в ходе капитального ремонта. Одновременно балансовая стоимость этого объекта корректируется на стоимость выбывающих и/или заменяемых частей;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балансовая стоимость объекта основных средств в случаях дооборудования увеличивае</w:t>
                  </w:r>
                  <w:r>
                    <w:rPr>
                      <w:color w:val="000000"/>
                      <w:sz w:val="28"/>
                      <w:szCs w:val="28"/>
                    </w:rPr>
                    <w:t>тся на сумму сформированных капитальных вложений в этот объект;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- стоимость основного средства изменяется в случае проведения переоценки этого основного средства и отражения ее результатов в учете;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составе нематериальных активов учитываются объекты, со</w:t>
                  </w:r>
                  <w:r>
                    <w:rPr>
                      <w:color w:val="000000"/>
                      <w:sz w:val="28"/>
                      <w:szCs w:val="28"/>
                    </w:rPr>
                    <w:t>ответствующие критериям признания в качестве нематериальных активов, в частности неисключительные права пользования на результаты интеллектуальной деятельности (права пользования на результаты интеллектуальной деятельности в соответствии с лицензионными до</w:t>
                  </w:r>
                  <w:r>
                    <w:rPr>
                      <w:color w:val="000000"/>
                      <w:sz w:val="28"/>
                      <w:szCs w:val="28"/>
                    </w:rPr>
                    <w:t>говорами либо иными документами, подтверждающими существование права на результаты интеллектуальной деятельности);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сроком полезного использования нематериального актива является период, в течение которого предполагается использование актива;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нематериал</w:t>
                  </w:r>
                  <w:r>
                    <w:rPr>
                      <w:color w:val="000000"/>
                      <w:sz w:val="28"/>
                      <w:szCs w:val="28"/>
                    </w:rPr>
                    <w:t>ьные активы, по которым невозможно определить срок полезного использования, относятся к нематериальным активам с неопределенным сроком полезного использования;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амортизация по всем нематериальным активам начисляется линейным методом;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единицей бухгалтерс</w:t>
                  </w:r>
                  <w:r>
                    <w:rPr>
                      <w:color w:val="000000"/>
                      <w:sz w:val="28"/>
                      <w:szCs w:val="28"/>
                    </w:rPr>
                    <w:t>кого учета материальных запасов является номенклатурная (реестровая) единица;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оценка материальных запасов, приобретенных за плату, осуществляется по фактической стоимости приобретения с учетом расходов, связанных с их приобретением;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при одновременном </w:t>
                  </w:r>
                  <w:r>
                    <w:rPr>
                      <w:color w:val="000000"/>
                      <w:sz w:val="28"/>
                      <w:szCs w:val="28"/>
                    </w:rPr>
                    <w:t>приобретении нескольких видов материальных запасов такие расходы распределяются пропорционально договорной цене приобретаемых материалов;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материальные запасы, в фактическую стоимость которых помимо стоимости самих материальных запасов включаются дополнит</w:t>
                  </w:r>
                  <w:r>
                    <w:rPr>
                      <w:color w:val="000000"/>
                      <w:sz w:val="28"/>
                      <w:szCs w:val="28"/>
                    </w:rPr>
                    <w:t>ельные расходы, связанные с их приобретением, отражаются в учете с применением счета 1.106.04.000 «Вложения в материальные запасы»;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признание в учете материалов, полученных в результате ремонта, разборки, модернизации (разукомплектации), утилизации (ликв</w:t>
                  </w:r>
                  <w:r>
                    <w:rPr>
                      <w:color w:val="000000"/>
                      <w:sz w:val="28"/>
                      <w:szCs w:val="28"/>
                    </w:rPr>
                    <w:t>идации) объектов основных средств, пригодных к дальнейшей эксплуатации, отражается по справедливой стоимости, определяемой методом рыночных цен комиссией по поступлению и выбытию активов;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материальные запасы, непригодные к дальнейшему использованию, остающиеся после ремонта, разборки, модернизации (разукомплектации), утилизации (ликвидации) объектов основных средств и подлежащие обязательной утилизации в соответствии с законодательством Р</w:t>
                  </w:r>
                  <w:r>
                    <w:rPr>
                      <w:color w:val="000000"/>
                      <w:sz w:val="28"/>
                      <w:szCs w:val="28"/>
                    </w:rPr>
                    <w:t>оссийской Федерации, учитываются на забалансовом счете 02 «Материальные ценности на хранении» в условной оценке – один объект один рубль.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выбытие материальных запасов признается по средней фактической стоимости запасов. 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составе денежных документов у</w:t>
                  </w:r>
                  <w:r>
                    <w:rPr>
                      <w:color w:val="000000"/>
                      <w:sz w:val="28"/>
                      <w:szCs w:val="28"/>
                    </w:rPr>
                    <w:t>читываются почтовые конверты с марками, отдельно приобретаемые почтовые марки;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денежные документы принимаются в кассу и учитываются по фактической стоимости с учетом всех налогов;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 отсутствии соглашений о получении доходов в виде безвозмездных посту</w:t>
                  </w:r>
                  <w:r>
                    <w:rPr>
                      <w:color w:val="000000"/>
                      <w:sz w:val="28"/>
                      <w:szCs w:val="28"/>
                    </w:rPr>
                    <w:t>плений из бюджета Ярославской области начисление таких доходов производится на основании закона о бюджете Ярославской области, постановления Правительства Ярославской области и др. документов;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доходы будущих периодов от безвозмездных поступлений от бюдже</w:t>
                  </w:r>
                  <w:r>
                    <w:rPr>
                      <w:color w:val="000000"/>
                      <w:sz w:val="28"/>
                      <w:szCs w:val="28"/>
                    </w:rPr>
                    <w:t>тов, полученные с условиями при передаче активов (имеющих целевое назначение), признаются в учете в составе доходов текущего отчетного периода по мере выполнения таких условий в части, относящейся к соответствующему отчетному периоду, ежеквартально, на осн</w:t>
                  </w:r>
                  <w:r>
                    <w:rPr>
                      <w:color w:val="000000"/>
                      <w:sz w:val="28"/>
                      <w:szCs w:val="28"/>
                    </w:rPr>
                    <w:t>овании отчетов о выполнении условий по формам передающей стороны;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при первом применении счета 40149 «Доходы будущих периодов к признанию в очередные года» перевод сальдо на 01.01.2021г. осуществляется в межотчетный период;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перевод сумм доходов будущих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периодов с кредита счета 40149 «Доходы будущих периодов к признанию в очередные года» на счет 40141 «Доходы будущих периодов к признанию в текущем году» в части доходов будущих периодов, подлежащих к признанию в текущем году, осуществляется в первый рабоч</w:t>
                  </w:r>
                  <w:r>
                    <w:rPr>
                      <w:color w:val="000000"/>
                      <w:sz w:val="28"/>
                      <w:szCs w:val="28"/>
                    </w:rPr>
                    <w:t>ий день отчетного года, при этом перевод доходов будущих периодов в виде дотаций осуществляется напрямую на счет 40110 «Доходы текущего финансового года»;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отражение счетов 40141 «Доходы будущих периодов к признанию в текущем году», 40149 «Доходы будущих периодов к признанию в очередные года» в отчетности производится в соответствии с требованиями вышестоящего финансового органа по раскрытию в бухгалтерской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(финансовой) отчетности взаимосвязанных показателей, подлежащих исключению при формировании консолидированной бухгалтерской (финансовой) отчетности;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наличие признаков возможного обесценения (снижения убытка) проверяется при инвентаризации соответствующи</w:t>
                  </w:r>
                  <w:r>
                    <w:rPr>
                      <w:color w:val="000000"/>
                      <w:sz w:val="28"/>
                      <w:szCs w:val="28"/>
                    </w:rPr>
                    <w:t>х активов, проводимой перед составлением годовой отчетности;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 выявлении признаков возможного обесценения (снижения убытка) принимается решение о необходимости (об отсутствии необходимости) определения справедливой стоимости такого актива;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 опреде</w:t>
                  </w:r>
                  <w:r>
                    <w:rPr>
                      <w:color w:val="000000"/>
                      <w:sz w:val="28"/>
                      <w:szCs w:val="28"/>
                    </w:rPr>
                    <w:t>лении справедливой стоимости актива также оценивается необходимость изменения оставшегося срока полезного использования актива;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если по результатам определения справедливой стоимости актива выявлен убыток от обесценения, то он подлежит признанию в учете;</w:t>
                  </w:r>
                </w:p>
                <w:p w:rsidR="001A5E1A" w:rsidRDefault="00570383">
                  <w:pPr>
                    <w:spacing w:before="190" w:after="19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восстановление убытка от обесценения отражается в учете только в том случае, если с момента последнего признания убытка от обесценения актива был изменен метод определения справедливой стоимости актива.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составе расходов будущих периодов учитываются:</w:t>
                  </w:r>
                </w:p>
                <w:p w:rsidR="001A5E1A" w:rsidRDefault="00570383">
                  <w:pPr>
                    <w:ind w:left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расходы на выплату по ежегодному оплачиваемому отпуску за неотработанные дни отпуска;</w:t>
                  </w:r>
                </w:p>
                <w:p w:rsidR="001A5E1A" w:rsidRDefault="00570383">
                  <w:pPr>
                    <w:ind w:left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иные расходы, осуществляемые в течение разных отчетных периодов.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учете формируются следующие резервы предстоящих расходов: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резерв по выплатам персоналу на оплату о</w:t>
                  </w:r>
                  <w:r>
                    <w:rPr>
                      <w:color w:val="000000"/>
                      <w:sz w:val="28"/>
                      <w:szCs w:val="28"/>
                    </w:rPr>
                    <w:t>тпусков за фактически отработанное время и компенсаций за неиспользованный отпуск, включая платежи на обязательное социальное страхование;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резерв для оплаты фактически осуществленных затрат, по которым не поступили документы контрагентов;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Каждый резерв и</w:t>
                  </w:r>
                  <w:r>
                    <w:rPr>
                      <w:color w:val="000000"/>
                      <w:sz w:val="28"/>
                      <w:szCs w:val="28"/>
                    </w:rPr>
                    <w:t>спользуется только на покрытие тех расходов, в отношении которых он был создан. Признание в учете расходов, в отношении которых сформирован резерв, осуществляется за счет суммы резерва. При его недостаточности соответствующие суммы отражаются в составе рас</w:t>
                  </w:r>
                  <w:r>
                    <w:rPr>
                      <w:color w:val="000000"/>
                      <w:sz w:val="28"/>
                      <w:szCs w:val="28"/>
                    </w:rPr>
                    <w:t>ходов текущего периода.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Резерв на оплату отпусков определяется исходя из количества дней неиспользованного отпуска по всем муниципальным служащим по состоянию на 01 января года, следующего за отчетным. В число неиспользованных дней отпуска включаются тольк</w:t>
                  </w:r>
                  <w:r>
                    <w:rPr>
                      <w:color w:val="000000"/>
                      <w:sz w:val="28"/>
                      <w:szCs w:val="28"/>
                    </w:rPr>
                    <w:t>о те дни, право на которые муниципальные служащие уже заработали, но не использовали на конец расчетного периода. Списание начисленного резерва для оплаты отпусков осуществляется по каждому распоряжению о предоставлении отпуска.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Бюджетные обяза</w:t>
                  </w:r>
                  <w:r>
                    <w:rPr>
                      <w:color w:val="000000"/>
                      <w:sz w:val="28"/>
                      <w:szCs w:val="28"/>
                    </w:rPr>
                    <w:t>тельства (принятые, принимаемые, отложенные) принимаются к учету в пределах доведенных лимитов бюджетных обязательств (далее-ЛБО).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Операции по санкционированию обязательств принимаемых, принятых в текущем финансовом году, формируются с учетом принимаемых, </w:t>
                  </w:r>
                  <w:r>
                    <w:rPr>
                      <w:color w:val="000000"/>
                      <w:sz w:val="28"/>
                      <w:szCs w:val="28"/>
                    </w:rPr>
                    <w:t>принятых и неисполненных обязательств прошлых лет.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   В Администрации городского полселения Гаврилов-Ям не используются следующие федеральные стандарты бухгалтерского учета для организаций государственного сектора: «Влияние изменений курсов ино</w:t>
                  </w:r>
                  <w:r>
                    <w:rPr>
                      <w:color w:val="000000"/>
                      <w:sz w:val="28"/>
                      <w:szCs w:val="28"/>
                    </w:rPr>
                    <w:t>странных валют»; «Концессионные соглашения»; «Долгосрочные договоры», «Затраты по заимствованиям»; «Совместная деятельность», «Информация о связанных сторонах».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Инвентаризация имущества, финансовых активов и обязательств, в том числе на забалансовых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счетах проводится в утвержденные сроки проведения плановых инвентаризаций.</w:t>
                  </w:r>
                </w:p>
              </w:tc>
            </w:tr>
          </w:tbl>
          <w:p w:rsidR="001A5E1A" w:rsidRDefault="005703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  <w:tr w:rsidR="001A5E1A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Раздел 3 «Анализ отчета об исполнении бюджета субъектом бюджетной отчетности»</w:t>
            </w:r>
          </w:p>
          <w:p w:rsidR="001A5E1A" w:rsidRDefault="005703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1A5E1A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Решением Муниципального Совета ГП Гаврилов-Ям от 15.12.2020 № 68 «О бюджете городского поселения Гаврилов-Ям на 2021 год и плановый период 2022-2023 гг.»   утверждены основные характеристики бюджета:  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-доходная часть на 2021 год в сумме 115 941 781,00 руб</w:t>
                  </w:r>
                  <w:r>
                    <w:rPr>
                      <w:color w:val="000000"/>
                      <w:sz w:val="28"/>
                      <w:szCs w:val="28"/>
                    </w:rPr>
                    <w:t>лей, расходная часть - 119 715 781,00 рублей, дефицит бюджета в сумме 3774000,00 рублей.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 учетом внесенных изменений в течение отчетного периода доходная часть составила 116 494 961,29 рублей, расходная часть - 116 494 961,29 рублей.</w:t>
                  </w:r>
                </w:p>
                <w:p w:rsidR="001A5E1A" w:rsidRDefault="0057038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Национальные проекты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2021 г. администрацией городского поселении Гаврилов-Ям реализовывались два национальных проекта «Жилье и городская среда» и «Экология». В рамках данных проектов исполнялись следующие региональные проекты: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рамках национального проекта «Жилье и городс</w:t>
                  </w:r>
                  <w:r>
                    <w:rPr>
                      <w:color w:val="000000"/>
                      <w:sz w:val="28"/>
                      <w:szCs w:val="28"/>
                    </w:rPr>
                    <w:t>кая среда» - исполняется муниципальная адресная программа по переселению граждан из аварийного жилищного фонда городского поселения Гаврилов-Ям. За 2021 года бюджетные ассигнования по программе составили 9 268 799,00 руб., расходы составили – 9107000, 00 р</w:t>
                  </w:r>
                  <w:r>
                    <w:rPr>
                      <w:color w:val="000000"/>
                      <w:sz w:val="28"/>
                      <w:szCs w:val="28"/>
                    </w:rPr>
                    <w:t>уб., в том числе:</w:t>
                  </w:r>
                </w:p>
                <w:p w:rsidR="001A5E1A" w:rsidRDefault="00570383">
                  <w:pPr>
                    <w:ind w:left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средства Фонда реформирования ЖКХ – 8 742 720,00 руб.</w:t>
                  </w:r>
                </w:p>
                <w:p w:rsidR="001A5E1A" w:rsidRDefault="00570383">
                  <w:pPr>
                    <w:ind w:left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средства областного бюджета – 327 852,00 руб.</w:t>
                  </w:r>
                </w:p>
                <w:p w:rsidR="001A5E1A" w:rsidRDefault="00570383">
                  <w:pPr>
                    <w:ind w:left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средства местного бюджета – 36 428,00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итогам 2021 г. 6 семей получили выкупную стоимость за жилые помещения.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рамках национального проекта «Экология» в городском поселении Гаврилов-Ям реализуется муниципальная целевая программа «Развитие системы обращения с твердыми коммунальными отходами на территории городского поселения Гаврилов-Ям». Закуплено 28 контейнеро</w:t>
                  </w:r>
                  <w:r>
                    <w:rPr>
                      <w:color w:val="000000"/>
                      <w:sz w:val="28"/>
                      <w:szCs w:val="28"/>
                    </w:rPr>
                    <w:t>в для раздельного накопления ТКО на сумму 421 076,04 руб., в том числе:</w:t>
                  </w:r>
                </w:p>
                <w:p w:rsidR="001A5E1A" w:rsidRDefault="00570383">
                  <w:pPr>
                    <w:ind w:left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средства Федерального бюджета – 404 232,97 руб.</w:t>
                  </w:r>
                </w:p>
                <w:p w:rsidR="001A5E1A" w:rsidRDefault="00570383">
                  <w:pPr>
                    <w:ind w:left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средства областного бюджета – 16000,94 руб.</w:t>
                  </w:r>
                </w:p>
                <w:p w:rsidR="001A5E1A" w:rsidRDefault="00570383">
                  <w:pPr>
                    <w:ind w:left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средства местного бюджета – 842,13 руб.</w:t>
                  </w:r>
                </w:p>
                <w:p w:rsidR="001A5E1A" w:rsidRDefault="001A5E1A">
                  <w:pPr>
                    <w:jc w:val="center"/>
                  </w:pPr>
                </w:p>
                <w:p w:rsidR="001A5E1A" w:rsidRDefault="001A5E1A">
                  <w:pPr>
                    <w:jc w:val="center"/>
                  </w:pPr>
                </w:p>
                <w:p w:rsidR="001A5E1A" w:rsidRDefault="0057038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Муниципальный долг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Муниципальный долг на 01.</w:t>
                  </w:r>
                  <w:r>
                    <w:rPr>
                      <w:color w:val="000000"/>
                      <w:sz w:val="28"/>
                      <w:szCs w:val="28"/>
                    </w:rPr>
                    <w:t>01.2022г. отсутствует.</w:t>
                  </w:r>
                </w:p>
              </w:tc>
            </w:tr>
          </w:tbl>
          <w:p w:rsidR="001A5E1A" w:rsidRDefault="005703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5E1A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4 «Анализ показателей бухгалтерской отчетности субъекта бюджетной отчетности»</w:t>
            </w:r>
          </w:p>
          <w:p w:rsidR="001A5E1A" w:rsidRDefault="005703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1A5E1A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1A5E1A" w:rsidRDefault="00570383">
                  <w:pPr>
                    <w:ind w:left="520" w:firstLine="700"/>
                    <w:jc w:val="both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                                                       Форма 0503168 «Сведения о движении нефинансовых активов»</w:t>
                  </w:r>
                </w:p>
                <w:p w:rsidR="001A5E1A" w:rsidRDefault="00570383">
                  <w:pPr>
                    <w:ind w:firstLine="56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Нефинансовые активы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разделу «Нефинансовые активы» ф. 0503168 изменение остатков по состоянию на 1 января 2021 г. с аналогичными показателями отчета за 2020 г. составляет 147 400,00 руб.(сч.111.6I.000). Расхождение обусловлено тем, что в связи с введением в действие федерал</w:t>
                  </w:r>
                  <w:r>
                    <w:rPr>
                      <w:color w:val="000000"/>
                      <w:sz w:val="28"/>
                      <w:szCs w:val="28"/>
                    </w:rPr>
                    <w:t>ьного стандарта бухгалтерского учета государственных финансов «Нематериальные активы», была проведена инвентаризация расходов будущих периодов и имущества в пользовании в части неисключительных прав пользования нематериальными активами, в результате которо</w:t>
                  </w:r>
                  <w:r>
                    <w:rPr>
                      <w:color w:val="000000"/>
                      <w:sz w:val="28"/>
                      <w:szCs w:val="28"/>
                    </w:rPr>
                    <w:t>й были выявлены объекты (АС "УРМ", 1С:Бухгалтерия государственного учреждения 8 ПРОФ, 1С:Зарплата и кадры государственного учреждения 8, ПО "Аренда и продажа земли", СПС КонсультантПлюс,) ранее не признававшиеся в составе нематериальных активов. Результаты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инвентаризации были отражены в бюджетном учете на соответствующих счетах и сделаны соответствующие бухгалтерские проводки.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Основные средства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2021 г. были приобретены и переданы в эксплуатацию объекты основных средств стоимостью 536 476,79 руб. Выбыло ос</w:t>
                  </w:r>
                  <w:r>
                    <w:rPr>
                      <w:color w:val="000000"/>
                      <w:sz w:val="28"/>
                      <w:szCs w:val="28"/>
                    </w:rPr>
                    <w:t>новных средств на сумму 445 749,09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Непроизведенные активы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За отчетный период приняты к учету земельные участки, собственность на которые не разграничена – 11 048 929,75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Выбыло земельных участков на сумму – 27 564 906,72 руб. в том числе: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          - по договорам купли-продажи – 10 629 472,11 руб.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      - при расторжении договоров аренды – 16 935 434,61 руб.</w:t>
                  </w:r>
                </w:p>
                <w:p w:rsidR="001A5E1A" w:rsidRDefault="00570383">
                  <w:pPr>
                    <w:ind w:left="56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Имущество казны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За 2021 г. в состав имущества казны поступило:</w:t>
                  </w:r>
                </w:p>
                <w:p w:rsidR="001A5E1A" w:rsidRDefault="00570383">
                  <w:pPr>
                    <w:spacing w:after="80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рамках муниципальной адресной программы «По переселению граждан из аварийного жилищного фонда городского поселения Гаврилов-Ям» у населения были выкуплены жилые помещения на общую сумму 9 107 000,00 руб.</w:t>
                  </w:r>
                </w:p>
                <w:p w:rsidR="001A5E1A" w:rsidRDefault="00570383">
                  <w:pPr>
                    <w:spacing w:after="80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от Митинского сельского поселения в муниципаль</w:t>
                  </w:r>
                  <w:r>
                    <w:rPr>
                      <w:color w:val="000000"/>
                      <w:sz w:val="28"/>
                      <w:szCs w:val="28"/>
                    </w:rPr>
                    <w:t>ную собственность городского поселения приняты безвозмездно жилые помещения на сумму 2 564 860,00 руб.</w:t>
                  </w:r>
                </w:p>
                <w:p w:rsidR="001A5E1A" w:rsidRDefault="00570383">
                  <w:pPr>
                    <w:spacing w:after="80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оприходовано неучтенных жилых помещений на сумму 266 994,64 руб.</w:t>
                  </w:r>
                </w:p>
                <w:p w:rsidR="001A5E1A" w:rsidRDefault="00570383">
                  <w:pPr>
                    <w:spacing w:after="80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рамках реализации муниципальной целевой программы «Развитие системы обращения с тв</w:t>
                  </w:r>
                  <w:r>
                    <w:rPr>
                      <w:color w:val="000000"/>
                      <w:sz w:val="28"/>
                      <w:szCs w:val="28"/>
                    </w:rPr>
                    <w:t>ердыми коммунальными отходами на территории городского поселения Гаврилов-Ям» закуплены пластиковые передвижные контейнеры для сбора ТКО на сумму 421 076,04 руб. </w:t>
                  </w:r>
                </w:p>
                <w:p w:rsidR="001A5E1A" w:rsidRDefault="00570383">
                  <w:pPr>
                    <w:spacing w:after="80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безвозмездно от МУ «УГХ» приняты капитальные вложения на сумму   2 467 775,48 руб. (спортив</w:t>
                  </w:r>
                  <w:r>
                    <w:rPr>
                      <w:color w:val="000000"/>
                      <w:sz w:val="28"/>
                      <w:szCs w:val="28"/>
                    </w:rPr>
                    <w:t>ные комплексы ул. Юбилейный проезд и ул. Седова - 736 842,20 руб., система видеонаблюдения ул. Комарова - 991 823,03 руб., светофорный объект – 119 514,00 руб., ограждения контейнерных площадок – 89 000,00 руб., детское спортивное оборудование - 283 412,67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руб., шахтные колодцы - 247 183,58 руб.)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состав имущества казны приняты от МУ «УГХ» фонари уличные, светильники, диваны деревянные на чугунных ножках, столбы декоративные для ограничения движения, линия уличного освещения, урны, установленные в районе прудов ул. Комарова, Шишкина на сумму 2 2</w:t>
                  </w:r>
                  <w:r>
                    <w:rPr>
                      <w:color w:val="000000"/>
                      <w:sz w:val="28"/>
                      <w:szCs w:val="28"/>
                    </w:rPr>
                    <w:t>97 421,66 руб.</w:t>
                  </w:r>
                </w:p>
                <w:p w:rsidR="001A5E1A" w:rsidRDefault="00570383">
                  <w:pPr>
                    <w:spacing w:after="80"/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 приняты в муниципальную собственность земельные участки кадастровой стоимостью – 9 431 689,94 руб.</w:t>
                  </w:r>
                </w:p>
                <w:p w:rsidR="001A5E1A" w:rsidRDefault="00570383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За 2021 г. из состав имущества казны выбыло:</w:t>
                  </w:r>
                </w:p>
                <w:p w:rsidR="001A5E1A" w:rsidRDefault="00570383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- имущество жилого фонда на сумму 5 718 784,78 руб.</w:t>
                  </w:r>
                </w:p>
                <w:p w:rsidR="001A5E1A" w:rsidRDefault="00570383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- реализованы земельн</w:t>
                  </w:r>
                  <w:r>
                    <w:rPr>
                      <w:color w:val="000000"/>
                      <w:sz w:val="28"/>
                      <w:szCs w:val="28"/>
                    </w:rPr>
                    <w:t>ые участки на сумму – 1 833 018,50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Амортизация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     На 01.01.2022 г. сумма амортизации составляет 63 943 117,25 руб. За отчетный период:</w:t>
                  </w:r>
                </w:p>
                <w:p w:rsidR="001A5E1A" w:rsidRDefault="00570383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начислено амортизации – 504 159,74 руб., в том числе по правам пользования ОС - 90 000,00 руб.</w:t>
                  </w:r>
                </w:p>
                <w:p w:rsidR="001A5E1A" w:rsidRDefault="00570383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списан</w:t>
                  </w:r>
                  <w:r>
                    <w:rPr>
                      <w:color w:val="000000"/>
                      <w:sz w:val="28"/>
                      <w:szCs w:val="28"/>
                    </w:rPr>
                    <w:t>а амортизация выбывших квартир – 2 117 191,43 руб.</w:t>
                  </w:r>
                </w:p>
                <w:p w:rsidR="001A5E1A" w:rsidRDefault="00570383">
                  <w:pPr>
                    <w:ind w:left="980" w:hanging="28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списана амортизация при прекращении прав пользования ОС – 90 000,00 руб.</w:t>
                  </w:r>
                </w:p>
                <w:p w:rsidR="001A5E1A" w:rsidRDefault="00570383">
                  <w:pPr>
                    <w:ind w:left="70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Материальные запасы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За отчетный период было закуплено материальных запасов на сумму 543 492,99 руб. и израсходовано на нужды учреждения 543 492,99 руб.</w:t>
                  </w:r>
                </w:p>
                <w:p w:rsidR="001A5E1A" w:rsidRDefault="0057038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Форма 0503169 «Сведения по дебиторской и кредиторской задолженности»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связи с исправлением ошибок прошлых лет по коду причи</w:t>
                  </w:r>
                  <w:r>
                    <w:rPr>
                      <w:color w:val="000000"/>
                      <w:sz w:val="28"/>
                      <w:szCs w:val="28"/>
                    </w:rPr>
                    <w:t>ны 03: 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изменилась сумма дебиторской задолженности по состоянию на 01.01.2021 года на сумму 2 802 765,00 руб. из них долгосрочная задолженность 2 708 603,46 руб., в том числе:</w:t>
                  </w:r>
                </w:p>
                <w:p w:rsidR="001A5E1A" w:rsidRDefault="00570383">
                  <w:pPr>
                    <w:ind w:left="700"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по счету 20523000 сумма дебиторской задолженности увеличилась на сумму 2 719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383,07 руб., из них долгосрочная задолженность увеличилась на сумму 2 708 603,46 руб., просроченная задолженность увеличилась на сумму 21 107,00 руб. (исправление ошибок по договорам аренды земельных участков).</w:t>
                  </w:r>
                </w:p>
                <w:p w:rsidR="001A5E1A" w:rsidRDefault="00570383">
                  <w:pPr>
                    <w:ind w:left="700"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по счету 2057300 сумма дебиторской задолже</w:t>
                  </w:r>
                  <w:r>
                    <w:rPr>
                      <w:color w:val="000000"/>
                      <w:sz w:val="28"/>
                      <w:szCs w:val="28"/>
                    </w:rPr>
                    <w:t>нности увеличилась на сумму 83 381,93 руб. (исправление ошибок по договорам купли-продажи земельных участков).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изменилась сумма кредиторской задолженности по состоянию на 01.01.2021 года на сумму 3 057 091,13 руб., в том числе:</w:t>
                  </w:r>
                </w:p>
                <w:p w:rsidR="001A5E1A" w:rsidRDefault="00570383">
                  <w:pPr>
                    <w:ind w:left="700"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по счету 40140000 сумма </w:t>
                  </w:r>
                  <w:r>
                    <w:rPr>
                      <w:color w:val="000000"/>
                      <w:sz w:val="28"/>
                      <w:szCs w:val="28"/>
                    </w:rPr>
                    <w:t>кредиторской задолженности увеличилась на сумму 3 057 091,13 руб. (исправление ошибок по договорам аренды земельных участков).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Дебиторская задолженность</w:t>
                  </w:r>
                </w:p>
                <w:p w:rsidR="001A5E1A" w:rsidRDefault="001A5E1A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3" w:type="dxa"/>
                    <w:tblBorders>
                      <w:top w:val="singl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blBorders>
                    <w:shd w:val="clear" w:color="auto" w:fill="FFFFFF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0"/>
                    <w:gridCol w:w="1672"/>
                    <w:gridCol w:w="1769"/>
                    <w:gridCol w:w="2735"/>
                    <w:gridCol w:w="1307"/>
                  </w:tblGrid>
                  <w:tr w:rsidR="001A5E1A">
                    <w:trPr>
                      <w:trHeight w:val="230"/>
                    </w:trPr>
                    <w:tc>
                      <w:tcPr>
                        <w:tcW w:w="2830" w:type="dxa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Номер счета бюджетного учета и вид задолженности</w:t>
                        </w:r>
                      </w:p>
                    </w:tc>
                    <w:tc>
                      <w:tcPr>
                        <w:tcW w:w="1672" w:type="dxa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на 01.01.2021</w:t>
                        </w:r>
                      </w:p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руб.</w:t>
                        </w:r>
                      </w:p>
                    </w:tc>
                    <w:tc>
                      <w:tcPr>
                        <w:tcW w:w="1769" w:type="dxa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на 01.01.2022</w:t>
                        </w:r>
                      </w:p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руб.</w:t>
                        </w:r>
                      </w:p>
                    </w:tc>
                    <w:tc>
                      <w:tcPr>
                        <w:tcW w:w="4042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Отклонения</w:t>
                        </w:r>
                      </w:p>
                    </w:tc>
                  </w:tr>
                  <w:tr w:rsidR="001A5E1A">
                    <w:tc>
                      <w:tcPr>
                        <w:tcW w:w="2830" w:type="dxa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1A5E1A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672" w:type="dxa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1A5E1A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769" w:type="dxa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1A5E1A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7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 абс. цифрах</w:t>
                        </w:r>
                      </w:p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(+, -)</w:t>
                        </w:r>
                      </w:p>
                    </w:tc>
                    <w:tc>
                      <w:tcPr>
                        <w:tcW w:w="1307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 %</w:t>
                        </w:r>
                      </w:p>
                    </w:tc>
                  </w:tr>
                  <w:tr w:rsidR="001A5E1A">
                    <w:tc>
                      <w:tcPr>
                        <w:tcW w:w="28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1 205 00 «Расчеты по доходам», в т.ч.: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46 199 761,28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36 610 213,74</w:t>
                        </w:r>
                      </w:p>
                    </w:tc>
                    <w:tc>
                      <w:tcPr>
                        <w:tcW w:w="27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- 9 589 547,54</w:t>
                        </w:r>
                      </w:p>
                    </w:tc>
                    <w:tc>
                      <w:tcPr>
                        <w:tcW w:w="1307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-20,76</w:t>
                        </w:r>
                      </w:p>
                    </w:tc>
                  </w:tr>
                  <w:tr w:rsidR="001A5E1A">
                    <w:tc>
                      <w:tcPr>
                        <w:tcW w:w="28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-просроченная задолженность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1 654 321,85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1 422 984,13</w:t>
                        </w:r>
                      </w:p>
                    </w:tc>
                    <w:tc>
                      <w:tcPr>
                        <w:tcW w:w="27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- 231 337,72</w:t>
                        </w:r>
                      </w:p>
                    </w:tc>
                    <w:tc>
                      <w:tcPr>
                        <w:tcW w:w="1307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-13,98</w:t>
                        </w:r>
                      </w:p>
                    </w:tc>
                  </w:tr>
                  <w:tr w:rsidR="001A5E1A">
                    <w:tc>
                      <w:tcPr>
                        <w:tcW w:w="28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1 206 00 «Расчеты по выданным авансам»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373,50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395,28</w:t>
                        </w:r>
                      </w:p>
                    </w:tc>
                    <w:tc>
                      <w:tcPr>
                        <w:tcW w:w="27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21,78</w:t>
                        </w:r>
                      </w:p>
                    </w:tc>
                    <w:tc>
                      <w:tcPr>
                        <w:tcW w:w="1307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+5,83</w:t>
                        </w:r>
                      </w:p>
                    </w:tc>
                  </w:tr>
                  <w:tr w:rsidR="001A5E1A">
                    <w:tc>
                      <w:tcPr>
                        <w:tcW w:w="28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1 208 00 «Расчеты с подотчетными лицами»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17 460,00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16 741,00</w:t>
                        </w:r>
                      </w:p>
                    </w:tc>
                    <w:tc>
                      <w:tcPr>
                        <w:tcW w:w="27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-719,00</w:t>
                        </w:r>
                      </w:p>
                    </w:tc>
                    <w:tc>
                      <w:tcPr>
                        <w:tcW w:w="1307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-4,12</w:t>
                        </w:r>
                      </w:p>
                    </w:tc>
                  </w:tr>
                  <w:tr w:rsidR="001A5E1A">
                    <w:tc>
                      <w:tcPr>
                        <w:tcW w:w="28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1 209 00 «Расчеты по ущербу имуществу и иным доходам», в т.ч.: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1 258 515,87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1 213 300,38</w:t>
                        </w:r>
                      </w:p>
                    </w:tc>
                    <w:tc>
                      <w:tcPr>
                        <w:tcW w:w="27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- 45 215,49</w:t>
                        </w:r>
                      </w:p>
                    </w:tc>
                    <w:tc>
                      <w:tcPr>
                        <w:tcW w:w="1307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- 3,59</w:t>
                        </w:r>
                      </w:p>
                    </w:tc>
                  </w:tr>
                  <w:tr w:rsidR="001A5E1A">
                    <w:tc>
                      <w:tcPr>
                        <w:tcW w:w="28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-просроченная задолженность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1 258 515,87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1 208 300,38</w:t>
                        </w:r>
                      </w:p>
                    </w:tc>
                    <w:tc>
                      <w:tcPr>
                        <w:tcW w:w="27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-50 215,49</w:t>
                        </w:r>
                      </w:p>
                    </w:tc>
                    <w:tc>
                      <w:tcPr>
                        <w:tcW w:w="1307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-3,99</w:t>
                        </w:r>
                      </w:p>
                    </w:tc>
                  </w:tr>
                  <w:tr w:rsidR="001A5E1A">
                    <w:tc>
                      <w:tcPr>
                        <w:tcW w:w="28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Всего: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47 476 110,65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37 840 650,40</w:t>
                        </w:r>
                      </w:p>
                    </w:tc>
                    <w:tc>
                      <w:tcPr>
                        <w:tcW w:w="27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-9 635 460,25</w:t>
                        </w:r>
                      </w:p>
                    </w:tc>
                    <w:tc>
                      <w:tcPr>
                        <w:tcW w:w="1307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-20,30</w:t>
                        </w:r>
                      </w:p>
                    </w:tc>
                  </w:tr>
                  <w:tr w:rsidR="001A5E1A">
                    <w:tc>
                      <w:tcPr>
                        <w:tcW w:w="28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В том числе: просроченная задолженность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2 912 837,72</w:t>
                        </w:r>
                      </w:p>
                    </w:tc>
                    <w:tc>
                      <w:tcPr>
                        <w:tcW w:w="17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2 631 284,51</w:t>
                        </w:r>
                      </w:p>
                    </w:tc>
                    <w:tc>
                      <w:tcPr>
                        <w:tcW w:w="27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-281 553,21</w:t>
                        </w:r>
                      </w:p>
                    </w:tc>
                    <w:tc>
                      <w:tcPr>
                        <w:tcW w:w="1307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-9,67</w:t>
                        </w:r>
                      </w:p>
                    </w:tc>
                  </w:tr>
                  <w:tr w:rsidR="001A5E1A">
                    <w:tc>
                      <w:tcPr>
                        <w:tcW w:w="28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1672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176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27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1307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</w:tbl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Дебиторская задолженность по состоянию на 01.01.2022 г. составила 37 840 650,40 руб. по сравнению к аналогичному периоду прошлого года снизилась на 9 635 460,25 руб. или на 20,30 %.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состоянию на 01.01.2022 г. просроченная дебиторская задолженность соста</w:t>
                  </w:r>
                  <w:r>
                    <w:rPr>
                      <w:color w:val="000000"/>
                      <w:sz w:val="28"/>
                      <w:szCs w:val="28"/>
                    </w:rPr>
                    <w:t>вила 2 631 284,51 руб., по сравнению к аналогичному периоду прошлого года уменьшилась на 281 553,21 руб. или на 9,67 %.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20521000 «Расчеты по доходам от операционной аренды» дебиторская задолженность составила 570 560,90 руб., из них долгосрочная з</w:t>
                  </w:r>
                  <w:r>
                    <w:rPr>
                      <w:color w:val="000000"/>
                      <w:sz w:val="28"/>
                      <w:szCs w:val="28"/>
                    </w:rPr>
                    <w:t>адолженность – 295 142,90 руб., просроченная задолженность отсутствует. На данном счете отражена задолженность по договорам аренды муниципального имущества по сроку действия договора.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20523000 «Расчеты по доходам от платежей при пользовании природ</w:t>
                  </w:r>
                  <w:r>
                    <w:rPr>
                      <w:color w:val="000000"/>
                      <w:sz w:val="28"/>
                      <w:szCs w:val="28"/>
                    </w:rPr>
                    <w:t>ными ресурсами» дебиторская задолженность составила – 21 811 506,36 руб., по сравнению к аналогичному периоду прошлого года задолженность уменьшилась на 2 610 399,39 руб., из них долгосрочная задолженность составила 18 762 284,60 руб. по сравнению к аналог</w:t>
                  </w:r>
                  <w:r>
                    <w:rPr>
                      <w:color w:val="000000"/>
                      <w:sz w:val="28"/>
                      <w:szCs w:val="28"/>
                    </w:rPr>
                    <w:t>ичному периоду прошлого года задолженность уменьшилась на сумму 2 328 887,00 руб., просроченная задолженность уменьшилась на 446 421,37 руб. и составила 1 150 219,78 руб. На данном счете отражена задолженность по договорам аренды земельных участков.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</w:t>
                  </w:r>
                  <w:r>
                    <w:rPr>
                      <w:color w:val="000000"/>
                      <w:sz w:val="28"/>
                      <w:szCs w:val="28"/>
                    </w:rPr>
                    <w:t>ту 20551000 «Расчеты по безвозмездным   поступлениям текущего характера от бюджетов бюджетной системы РФ» отражена задолженность по дотации на выравнивание уровня бюджетной обеспеченности поселений на 2022 год, утвержденная Законом ЯО 88-З от 15.12.2021. в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сумме 13 716 000,00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20573000 «Расчеты по доходам от операций с непроизведенными активами» отражена задолженность по продаже земельных участков. Дебиторская задолженность составила 512 146,48 руб., по сравнению к аналогичному периоду прошлого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года задолженность увеличилась на 371 083,85 руб., просроченная задолженность составила – 272 764,35 руб., по сравнению к аналогичному периоду прошлого года задолженность возросла на 215 083,65 руб., (не оплачено по сроку действия договора, дебитору напра</w:t>
                  </w:r>
                  <w:r>
                    <w:rPr>
                      <w:color w:val="000000"/>
                      <w:sz w:val="28"/>
                      <w:szCs w:val="28"/>
                    </w:rPr>
                    <w:t>влена претензия).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20934000 «Расчеты по компенсации затрат» отражена задолженность физических лиц по доходам по договорам мены. Дебиторская задолженность составила 1 208 300,38 руб., по сравнению к аналогичному периоду прошлого года задолженность у</w:t>
                  </w:r>
                  <w:r>
                    <w:rPr>
                      <w:color w:val="000000"/>
                      <w:sz w:val="28"/>
                      <w:szCs w:val="28"/>
                    </w:rPr>
                    <w:t>меньшилась на 50 215,49 руб., просроченная задолженность составила 1 208 300,38 руб., уменьшилась на 50 215,49 руб. по сравнению к 2020 г.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20626000 «Расчеты по авансам по прочим работам, услугам» отражена дебиторская задолженность по договору за п</w:t>
                  </w:r>
                  <w:r>
                    <w:rPr>
                      <w:color w:val="000000"/>
                      <w:sz w:val="28"/>
                      <w:szCs w:val="28"/>
                    </w:rPr>
                    <w:t>одписку на периодические издания, задолженность составила – 395,28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20821000 «Расчеты с подотчетными лицами по оплате услуг связи» отражена дебиторская задолженность с подотчетными лицами за маркированные конверты, задолженность составила – 16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741,00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Кредиторская задолженность</w:t>
                  </w:r>
                </w:p>
                <w:p w:rsidR="001A5E1A" w:rsidRDefault="001A5E1A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0" w:type="dxa"/>
                    <w:jc w:val="center"/>
                    <w:tblBorders>
                      <w:top w:val="singl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59"/>
                    <w:gridCol w:w="1656"/>
                    <w:gridCol w:w="1656"/>
                    <w:gridCol w:w="2089"/>
                    <w:gridCol w:w="1250"/>
                  </w:tblGrid>
                  <w:tr w:rsidR="001A5E1A">
                    <w:trPr>
                      <w:trHeight w:val="230"/>
                      <w:jc w:val="center"/>
                    </w:trPr>
                    <w:tc>
                      <w:tcPr>
                        <w:tcW w:w="3659" w:type="dxa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Номер счета бюджетного учета и вид задолженности</w:t>
                        </w:r>
                      </w:p>
                    </w:tc>
                    <w:tc>
                      <w:tcPr>
                        <w:tcW w:w="1656" w:type="dxa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на 01.01.2021</w:t>
                        </w:r>
                      </w:p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руб.</w:t>
                        </w:r>
                      </w:p>
                    </w:tc>
                    <w:tc>
                      <w:tcPr>
                        <w:tcW w:w="1656" w:type="dxa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на 01.01.2022</w:t>
                        </w:r>
                      </w:p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руб.</w:t>
                        </w:r>
                      </w:p>
                    </w:tc>
                    <w:tc>
                      <w:tcPr>
                        <w:tcW w:w="3339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Отклонения</w:t>
                        </w:r>
                      </w:p>
                    </w:tc>
                  </w:tr>
                  <w:tr w:rsidR="001A5E1A">
                    <w:trPr>
                      <w:jc w:val="center"/>
                    </w:trPr>
                    <w:tc>
                      <w:tcPr>
                        <w:tcW w:w="3659" w:type="dxa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1A5E1A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656" w:type="dxa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1A5E1A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1656" w:type="dxa"/>
                        <w:vMerge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1A5E1A">
                        <w:pPr>
                          <w:spacing w:line="1" w:lineRule="auto"/>
                        </w:pPr>
                      </w:p>
                    </w:tc>
                    <w:tc>
                      <w:tcPr>
                        <w:tcW w:w="208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 абс. цифрах</w:t>
                        </w:r>
                      </w:p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(+, -)</w:t>
                        </w:r>
                      </w:p>
                    </w:tc>
                    <w:tc>
                      <w:tcPr>
                        <w:tcW w:w="12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 %</w:t>
                        </w:r>
                      </w:p>
                    </w:tc>
                  </w:tr>
                  <w:tr w:rsidR="001A5E1A">
                    <w:trPr>
                      <w:jc w:val="center"/>
                    </w:trPr>
                    <w:tc>
                      <w:tcPr>
                        <w:tcW w:w="365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1 302 00 «Расчеты по принятым обязательствам», в т.ч.: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107 532,48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19 597,46</w:t>
                        </w:r>
                      </w:p>
                    </w:tc>
                    <w:tc>
                      <w:tcPr>
                        <w:tcW w:w="208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-87 935,02</w:t>
                        </w:r>
                      </w:p>
                    </w:tc>
                    <w:tc>
                      <w:tcPr>
                        <w:tcW w:w="12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-81,78</w:t>
                        </w:r>
                      </w:p>
                    </w:tc>
                  </w:tr>
                  <w:tr w:rsidR="001A5E1A">
                    <w:trPr>
                      <w:jc w:val="center"/>
                    </w:trPr>
                    <w:tc>
                      <w:tcPr>
                        <w:tcW w:w="365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- просроченная задолженность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208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12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  <w:tr w:rsidR="001A5E1A">
                    <w:trPr>
                      <w:jc w:val="center"/>
                    </w:trPr>
                    <w:tc>
                      <w:tcPr>
                        <w:tcW w:w="365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1 303 00 «Расчеты по платежам в бюджеты», в т.ч.: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1A5E1A">
                        <w:pPr>
                          <w:jc w:val="center"/>
                        </w:pPr>
                      </w:p>
                      <w:p w:rsidR="001A5E1A" w:rsidRDefault="001A5E1A">
                        <w:pPr>
                          <w:jc w:val="center"/>
                        </w:pPr>
                      </w:p>
                    </w:tc>
                    <w:tc>
                      <w:tcPr>
                        <w:tcW w:w="165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3,00</w:t>
                        </w:r>
                      </w:p>
                    </w:tc>
                    <w:tc>
                      <w:tcPr>
                        <w:tcW w:w="208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+3,00</w:t>
                        </w:r>
                      </w:p>
                    </w:tc>
                    <w:tc>
                      <w:tcPr>
                        <w:tcW w:w="12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+100,0</w:t>
                        </w:r>
                      </w:p>
                    </w:tc>
                  </w:tr>
                  <w:tr w:rsidR="001A5E1A">
                    <w:trPr>
                      <w:jc w:val="center"/>
                    </w:trPr>
                    <w:tc>
                      <w:tcPr>
                        <w:tcW w:w="365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Всего: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107 532,48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19 600,46</w:t>
                        </w:r>
                      </w:p>
                    </w:tc>
                    <w:tc>
                      <w:tcPr>
                        <w:tcW w:w="208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-87 932,02</w:t>
                        </w:r>
                      </w:p>
                    </w:tc>
                    <w:tc>
                      <w:tcPr>
                        <w:tcW w:w="12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-81,77</w:t>
                        </w:r>
                      </w:p>
                    </w:tc>
                  </w:tr>
                  <w:tr w:rsidR="001A5E1A">
                    <w:trPr>
                      <w:jc w:val="center"/>
                    </w:trPr>
                    <w:tc>
                      <w:tcPr>
                        <w:tcW w:w="365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- просроченная задолженность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165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2089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  <w:tc>
                      <w:tcPr>
                        <w:tcW w:w="125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-</w:t>
                        </w:r>
                      </w:p>
                    </w:tc>
                  </w:tr>
                </w:tbl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Кредиторская задолженность по состоянию на 01.01.2022г. составила 19 600,46 руб. по сравнению к аналогичному периоду прошлого года уменьшилась на 87 932,02 руб. или на 81,77 %.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302 00 «Расчеты по принятым обязательствам» кредиторская задолженность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по сравнению к аналогичному периоду прошлого года уменьшилась на сумму 87 935,02 руб. и составила 19 597,46 руб. На данном счете отражена текущая задолженность по договорам за услуги связи, коммунальные услуги.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1 303 00 «Расчеты по платежам в бюд</w:t>
                  </w:r>
                  <w:r>
                    <w:rPr>
                      <w:color w:val="000000"/>
                      <w:sz w:val="28"/>
                      <w:szCs w:val="28"/>
                    </w:rPr>
                    <w:t>жеты», увеличение кредиторской задолженности составило 3,00 руб. (задолженность по взносам на обязательное социальное страхование на случай временной нетрудоспособности и в связи с материнством, срок оплаты январь 2022 г.).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Просроченной кредиторской задолж</w:t>
                  </w:r>
                  <w:r>
                    <w:rPr>
                      <w:color w:val="000000"/>
                      <w:sz w:val="28"/>
                      <w:szCs w:val="28"/>
                    </w:rPr>
                    <w:t>енности по состоянию на 01.01.2022 г. нет.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Доходы будущих периодов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Согласно приказа 198н от 14.09.2020 г. с 01.01.2021 г. применяются счета 40141, 40149 для отражения межбюджетных отношений, для учета арендных платежей применяется счет 40140.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счету 4014000 «Доходы будущих периодов» задолженность составила - 34 860 070,97 руб., на данном счете отражены доходы будущих периодов по договорам:</w:t>
                  </w:r>
                </w:p>
                <w:p w:rsidR="001A5E1A" w:rsidRDefault="00570383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аренды муниципального имущества на сумму 549 374,90 руб.;</w:t>
                  </w:r>
                </w:p>
                <w:p w:rsidR="001A5E1A" w:rsidRDefault="00570383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аренды земельных участков – 20 573 513,3</w:t>
                  </w:r>
                  <w:r>
                    <w:rPr>
                      <w:color w:val="000000"/>
                      <w:sz w:val="28"/>
                      <w:szCs w:val="28"/>
                    </w:rPr>
                    <w:t>9 руб.;</w:t>
                  </w:r>
                </w:p>
                <w:p w:rsidR="001A5E1A" w:rsidRDefault="00570383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доходы от компенсации затрат – 21 182,68 руб.;</w:t>
                  </w:r>
                </w:p>
                <w:p w:rsidR="001A5E1A" w:rsidRDefault="00570383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дотация на выравнивание бюджетной обеспеченности 13 716 000,00 руб.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Резервы предстоящих расходов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 счете 40160 организован учет резервов предстоящих расходов на оплату отпусков, взносов на оплат</w:t>
                  </w:r>
                  <w:r>
                    <w:rPr>
                      <w:color w:val="000000"/>
                      <w:sz w:val="28"/>
                      <w:szCs w:val="28"/>
                    </w:rPr>
                    <w:t>у отпусков и оплату пенсий и составляет на 01.01.2022 г. 733 821,69 руб.</w:t>
                  </w:r>
                </w:p>
                <w:p w:rsidR="001A5E1A" w:rsidRDefault="00570383">
                  <w:pPr>
                    <w:jc w:val="center"/>
                  </w:pPr>
                  <w:r>
                    <w:rPr>
                      <w:b/>
                      <w:bCs/>
                      <w:i/>
                      <w:iCs/>
                      <w:color w:val="000000"/>
                      <w:sz w:val="28"/>
                      <w:szCs w:val="28"/>
                    </w:rPr>
                    <w:t>           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Форма 0503171 «Сведения о финансовых вложениях получателя бюджетных средств, администратора источников финансирования дефицита бюджета»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состоянию на 01.01.2022 г. на сче</w:t>
                  </w:r>
                  <w:r>
                    <w:rPr>
                      <w:color w:val="000000"/>
                      <w:sz w:val="28"/>
                      <w:szCs w:val="28"/>
                    </w:rPr>
                    <w:t>те 204.32 отражены финансовые вложения на сумму – 1 781 357,51 руб., в том числе: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- 181 357,51 руб. уставной фонд МУП «Гаврилов-Ямский льновод»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- 1 500 000,00 руб. уставной фонд МУП «Оздоровительный центр «Мечта»»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- 100 000,00 руб. уставной фонд МУП «Ритуал»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состоянию на 01.01.2022 г. на счете 204.33 отражен утвержденный перечень особо ценного имущества и объектов недвижимого имущества МУ «Центр развития и поддержки   предпринимательства» на сумму – 34 311 064,10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руб., в том числе: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особо ценное имущество и объекты недвижимого имущества МУ «Центр развития и поддержки предпринимательства» - 1 220 688,77 руб. и 30 045 697,20 руб. соответственно, кадастровая стоимость земельного участка 3 044 678,13 руб.</w:t>
                  </w:r>
                </w:p>
                <w:p w:rsidR="001A5E1A" w:rsidRDefault="001A5E1A">
                  <w:pPr>
                    <w:jc w:val="both"/>
                  </w:pPr>
                </w:p>
                <w:p w:rsidR="001A5E1A" w:rsidRDefault="001A5E1A">
                  <w:pPr>
                    <w:jc w:val="both"/>
                  </w:pPr>
                </w:p>
                <w:p w:rsidR="001A5E1A" w:rsidRDefault="00570383">
                  <w:pPr>
                    <w:ind w:left="700"/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Форма 050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3173 «Сведения об изменении остатков валюты баланса»</w:t>
                  </w:r>
                </w:p>
                <w:p w:rsidR="001A5E1A" w:rsidRDefault="00570383">
                  <w:pPr>
                    <w:ind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По коду причины </w:t>
                  </w:r>
                  <w:r>
                    <w:rPr>
                      <w:color w:val="000000"/>
                      <w:sz w:val="28"/>
                      <w:szCs w:val="28"/>
                      <w:u w:val="single"/>
                    </w:rPr>
                    <w:t>02 «Изменения, связанные с внедрением федеральных стандартов бухгалтерского учета в государственном секторе» по строке 100 </w:t>
                  </w:r>
                  <w:r>
                    <w:rPr>
                      <w:color w:val="000000"/>
                      <w:sz w:val="28"/>
                      <w:szCs w:val="28"/>
                    </w:rPr>
                    <w:t>отражена постановка на учет в межотчетный период прав пользовани</w:t>
                  </w:r>
                  <w:r>
                    <w:rPr>
                      <w:color w:val="000000"/>
                      <w:sz w:val="28"/>
                      <w:szCs w:val="28"/>
                    </w:rPr>
                    <w:t>я нематериальными активами на сумму 147 400,00 руб. по счету 1.111.00.000 «Права пользования активами» в соответствии с переходными положениями на федеральный стандарт бухгалтерского учета государственных финансов «Нематериальные активы».</w:t>
                  </w:r>
                </w:p>
                <w:p w:rsidR="001A5E1A" w:rsidRDefault="00570383">
                  <w:pPr>
                    <w:ind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По коду причины </w:t>
                  </w:r>
                  <w:r>
                    <w:rPr>
                      <w:color w:val="000000"/>
                      <w:sz w:val="28"/>
                      <w:szCs w:val="28"/>
                      <w:u w:val="single"/>
                    </w:rPr>
                    <w:t>03 «Исправление ошибок прошлых лет»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отражены следующие изменения:</w:t>
                  </w:r>
                </w:p>
                <w:p w:rsidR="001A5E1A" w:rsidRDefault="00570383">
                  <w:pPr>
                    <w:ind w:firstLine="3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по строке 070 отражено исправление ошибок прошлых лет по договору купли-продажи земельного участка в итоговой сумме 0,00 руб.;</w:t>
                  </w:r>
                </w:p>
                <w:p w:rsidR="001A5E1A" w:rsidRDefault="00570383">
                  <w:pPr>
                    <w:ind w:firstLine="3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 по строке 160 произошли изменения на сумму корректировки </w:t>
                  </w:r>
                  <w:r>
                    <w:rPr>
                      <w:color w:val="000000"/>
                      <w:sz w:val="28"/>
                      <w:szCs w:val="28"/>
                    </w:rPr>
                    <w:t>ошибочно отраженных расходов в составе расходов будущих периодов 13 641,69 руб.;</w:t>
                  </w:r>
                </w:p>
                <w:p w:rsidR="001A5E1A" w:rsidRDefault="00570383">
                  <w:pPr>
                    <w:ind w:firstLine="3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по строке 250 по счету 205.23.000 произведена корректировка начисленных доходов в сторону увеличения на сумму 2 719 383,07 руб., из низ долгосрочная задолженность увеличена </w:t>
                  </w:r>
                  <w:r>
                    <w:rPr>
                      <w:color w:val="000000"/>
                      <w:sz w:val="28"/>
                      <w:szCs w:val="28"/>
                    </w:rPr>
                    <w:t>на сумму 2 708 603,46 руб.; по счету 205.73.000 начислен доход от операций с продажей земельных участков в сумме 83 381,93 руб.</w:t>
                  </w:r>
                </w:p>
                <w:p w:rsidR="001A5E1A" w:rsidRDefault="00570383">
                  <w:pPr>
                    <w:ind w:firstLine="4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по строке 510 по счету 401.40.000 произведена корректировка начисленных доходов будущих периодов по платежам при пользовании п</w:t>
                  </w:r>
                  <w:r>
                    <w:rPr>
                      <w:color w:val="000000"/>
                      <w:sz w:val="28"/>
                      <w:szCs w:val="28"/>
                    </w:rPr>
                    <w:t>риродными ресурсами в сторону увеличения на сумму 3 057 091,13 руб.                     </w:t>
                  </w:r>
                </w:p>
                <w:p w:rsidR="001A5E1A" w:rsidRDefault="00570383">
                  <w:pPr>
                    <w:ind w:firstLine="5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По коду причины </w:t>
                  </w:r>
                  <w:r>
                    <w:rPr>
                      <w:color w:val="000000"/>
                      <w:sz w:val="28"/>
                      <w:szCs w:val="28"/>
                      <w:u w:val="single"/>
                    </w:rPr>
                    <w:t>06 «Иные причины, предусмотренные законодательством Российской Федерации»</w:t>
                  </w:r>
                  <w:r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  <w:p w:rsidR="001A5E1A" w:rsidRDefault="00570383">
                  <w:pPr>
                    <w:ind w:firstLine="3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по строке 510 отражены изменения сумм доходов будущих периодов в межотчетн</w:t>
                  </w:r>
                  <w:r>
                    <w:rPr>
                      <w:color w:val="000000"/>
                      <w:sz w:val="28"/>
                      <w:szCs w:val="28"/>
                    </w:rPr>
                    <w:t>ый период, связанные с переносом остатков по счету 1.401.40.000 на 1.401.49.000 в соответствии с учетной политикой субъектов отчетности в сумме 0,00 руб., не повлиявшее на изменение валюты баланса.</w:t>
                  </w:r>
                </w:p>
                <w:p w:rsidR="001A5E1A" w:rsidRDefault="00570383">
                  <w:pPr>
                    <w:ind w:firstLine="3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по строке 410 отражены изменения, связанные с изменением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бюджетной классификации (изменение КВР) в межотчетный период в сумме 0,00 руб., не повлиявшие на изменение валюты баланса.</w:t>
                  </w:r>
                </w:p>
                <w:p w:rsidR="001A5E1A" w:rsidRDefault="0057038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Форма 0503175 «Сведения о принятых и неисполненных обязательствах получателя бюджетных средств»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состоянию на 01.01.2022 г. неиспо</w:t>
                  </w:r>
                  <w:r>
                    <w:rPr>
                      <w:color w:val="000000"/>
                      <w:sz w:val="28"/>
                      <w:szCs w:val="28"/>
                    </w:rPr>
                    <w:t>лненных бюджетных обязательств, неисполненных денежных обязательств, бюджетных обязательств, принятых сверх утвержденных бюджетных назначений нет.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2021 году обязательства, принимаемые с применением конкурентных способов, составили – 1 886 684,70 руб.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     - принято обязательств в 2021 году по контрактам на сумму – 1 663 382,10 руб.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         - экономия в результате применения конкурентных способов составила 223 302,60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Сумма принимаемых обязательств, с применением конкурентных способов на 2022 г. с</w:t>
                  </w:r>
                  <w:r>
                    <w:rPr>
                      <w:color w:val="000000"/>
                      <w:sz w:val="28"/>
                      <w:szCs w:val="28"/>
                    </w:rPr>
                    <w:t>оставила 937 800,00 руб.,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Сумма принятых обязательств по контрактам на 2022 г. составила 449 300,00 руб., экономия в результате применения конкурентных способов составила 38 500,00 руб.</w:t>
                  </w:r>
                </w:p>
                <w:p w:rsidR="001A5E1A" w:rsidRDefault="0057038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Форма 0503178 «Сведения об остатках денежных средств на счетах получат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еля бюджетных средств»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состоянию на 01.01.2022 г. остаток средств во временном распоряжении составляет – 109 990,53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По состоянию на 01.01.2022 г. остатка денежных средств в кассе – нет.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Согласно распоряжению Администрации городского поселения «Об установлении лимита кассы» от 29.12.2020 г. № 104-о установлен лимит кассы на 2021 г. в сумме 120,00 руб. По фондовой кассе остатка нет.</w:t>
                  </w:r>
                </w:p>
                <w:p w:rsidR="001A5E1A" w:rsidRDefault="001A5E1A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314" w:type="dxa"/>
                    <w:tblBorders>
                      <w:top w:val="singl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16"/>
                    <w:gridCol w:w="1903"/>
                    <w:gridCol w:w="1751"/>
                    <w:gridCol w:w="2384"/>
                    <w:gridCol w:w="1630"/>
                    <w:gridCol w:w="1630"/>
                  </w:tblGrid>
                  <w:tr w:rsidR="001A5E1A">
                    <w:trPr>
                      <w:trHeight w:val="230"/>
                    </w:trPr>
                    <w:tc>
                      <w:tcPr>
                        <w:tcW w:w="10314" w:type="dxa"/>
                        <w:gridSpan w:val="6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Расшифровка показателей, отраженных</w:t>
                        </w:r>
                      </w:p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 в Справке по заключ</w:t>
                        </w: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ению счетов бюджетного учета</w:t>
                        </w:r>
                      </w:p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  отчетного финансового года (ф. 0503110)¹ (справочно)</w:t>
                        </w:r>
                      </w:p>
                    </w:tc>
                  </w:tr>
                  <w:tr w:rsidR="001A5E1A">
                    <w:trPr>
                      <w:trHeight w:val="230"/>
                    </w:trPr>
                    <w:tc>
                      <w:tcPr>
                        <w:tcW w:w="2919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Наименование субъекта отчетности</w:t>
                        </w:r>
                      </w:p>
                    </w:tc>
                    <w:tc>
                      <w:tcPr>
                        <w:tcW w:w="7395" w:type="dxa"/>
                        <w:gridSpan w:val="4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Администрация городского поселения Гаврилов-Ям</w:t>
                        </w:r>
                      </w:p>
                    </w:tc>
                  </w:tr>
                  <w:tr w:rsidR="001A5E1A">
                    <w:trPr>
                      <w:trHeight w:val="230"/>
                    </w:trPr>
                    <w:tc>
                      <w:tcPr>
                        <w:tcW w:w="10314" w:type="dxa"/>
                        <w:gridSpan w:val="6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Единица измерения: руб</w:t>
                        </w: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Номер (код) строки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Наименование показателя⁵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КОСГУ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Сумма²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Поясненияᶾ</w:t>
                        </w: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</w:t>
                        </w: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10⁶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Курсовая разница по денежным средствам в корреспонденции со счетами 201.XX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171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Доходы от оценки активов и обязательств, всего⁴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176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8 163 300,24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111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1XX.XX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176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8 163 300,24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Изменение кадастровой стоимости земельных участков</w:t>
                        </w: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112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176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Чрезвычайные доходы от операций с активами, всего⁴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-106 250,70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121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1XX.XX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122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2XX.XX, за исключением счета 207.XX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-106 250,70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Списана безнадежная дебиторская задолженность ООО "Созидатель"</w:t>
                        </w: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123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207.XX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124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13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Безвозмездные неденежные поступления текущего характера от сектора государственного управления и организаций государственного сектора, всего⁴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131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1XX.XX, за исключением счетов из п. 141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132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204.5X, 205.XX, 206.XX, 208.XX, 209.XX, 210.XX, 215.5X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133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204.2X, 215.2X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134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204.3X, 215.3X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135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191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Безвозмездные неденежные поступления капитального характера от сектора государственного управления и организаций государственного сектора, всего⁴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5 032 635,48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141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101.XX, 102.XX, 103.XX, 104.1X, 104.3X, 104.5X, 104.9X, 106.1X, 106.31, 106.3N, 106.3R, 106.3I, 106.3D, 106.33, 106.41, 106.51 - 106.55, 106.9X, 108.51 - 108.55, 108.9X, 114.1X, 114.3X, 114.7X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5 032 635,48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Поступило имущест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во казны от Митинского сельского поселения, МУ «УГХ»</w:t>
                        </w: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142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195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Прочие неденежные безвозмездные поступления, всего⁴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-2 107 602,34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151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1XX.XX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-2 107 602,34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Безвозмездное поступление имущества казны, земельных участков</w:t>
                        </w: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152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204.5X, 205.XX, 206.XX, 208.XX, 209.XX, 210.XX, 215.5X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153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204.2X, 215.2X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154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204.3X, 215.3X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155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199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Иные доходы, всего⁴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189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161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в корреспонденции со счетами 205.XX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189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162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 (указать подробно)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189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17⁷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Чрезвычайные расходы по операциям с активами, всего⁴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171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от операций с нефинансовыми активами, кроме чрезвычайных расходов от операций с материальными запасами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172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от операций с материальными запасами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  <w:tr w:rsidR="001A5E1A">
                    <w:tc>
                      <w:tcPr>
                        <w:tcW w:w="1016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173</w:t>
                        </w:r>
                      </w:p>
                    </w:tc>
                    <w:tc>
                      <w:tcPr>
                        <w:tcW w:w="3654" w:type="dxa"/>
                        <w:gridSpan w:val="2"/>
                        <w:vMerge w:val="restart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both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иное</w:t>
                        </w:r>
                      </w:p>
                    </w:tc>
                    <w:tc>
                      <w:tcPr>
                        <w:tcW w:w="2384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center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273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570383">
                        <w:pPr>
                          <w:jc w:val="right"/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0,00</w:t>
                        </w:r>
                      </w:p>
                    </w:tc>
                    <w:tc>
                      <w:tcPr>
                        <w:tcW w:w="1630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1A5E1A" w:rsidRDefault="001A5E1A">
                        <w:pPr>
                          <w:jc w:val="both"/>
                        </w:pPr>
                      </w:p>
                      <w:p w:rsidR="001A5E1A" w:rsidRDefault="001A5E1A">
                        <w:pPr>
                          <w:jc w:val="both"/>
                        </w:pPr>
                      </w:p>
                    </w:tc>
                  </w:tr>
                </w:tbl>
                <w:p w:rsidR="001A5E1A" w:rsidRDefault="001A5E1A">
                  <w:pPr>
                    <w:spacing w:line="1" w:lineRule="auto"/>
                  </w:pPr>
                </w:p>
              </w:tc>
            </w:tr>
          </w:tbl>
          <w:p w:rsidR="001A5E1A" w:rsidRDefault="005703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5E1A">
        <w:trPr>
          <w:trHeight w:val="322"/>
        </w:trPr>
        <w:tc>
          <w:tcPr>
            <w:tcW w:w="10314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5 «Прочие вопросы деятельности субъекта бюджетной отчетности»</w:t>
            </w:r>
          </w:p>
          <w:p w:rsidR="001A5E1A" w:rsidRDefault="005703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1031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14"/>
            </w:tblGrid>
            <w:tr w:rsidR="001A5E1A">
              <w:tc>
                <w:tcPr>
                  <w:tcW w:w="10314" w:type="dxa"/>
                  <w:tcMar>
                    <w:top w:w="0" w:type="dxa"/>
                    <w:left w:w="0" w:type="dxa"/>
                    <w:bottom w:w="0" w:type="dxa"/>
                    <w:right w:w="400" w:type="dxa"/>
                  </w:tcMar>
                </w:tcPr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течение 2021 г. согласно учетной политике проводились следующие виды инвентаризации: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конце каждого квартала проводилась внезапная ревизия кассы, в ходе инвентаризации расхождений не выявлено.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 смене ответственных лиц проводилась инвентаризация кассы, денежных документов (маркированных конвертов, почтовых марок), нефинансовых актив</w:t>
                  </w:r>
                  <w:r>
                    <w:rPr>
                      <w:color w:val="000000"/>
                      <w:sz w:val="28"/>
                      <w:szCs w:val="28"/>
                    </w:rPr>
                    <w:t>ов и материальных ценностей. На основании инвентаризационных описей расхождений не выявлено.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в целях перехода на федеральный стандарт бухгалтерского учета государственных финансов «Нематериальные активы», утвержденный приказом Министерства финансов Росси</w:t>
                  </w:r>
                  <w:r>
                    <w:rPr>
                      <w:color w:val="000000"/>
                      <w:sz w:val="28"/>
                      <w:szCs w:val="28"/>
                    </w:rPr>
                    <w:t>йской Федерации №181н от 15.11.2019г была проведена инвентаризация расходов будущих периодов и имущества в пользовании в части неисключительных прав пользования нематериальными активами по состоянию на 01 января 2021г.  в результате которой были выявлены о</w:t>
                  </w:r>
                  <w:r>
                    <w:rPr>
                      <w:color w:val="000000"/>
                      <w:sz w:val="28"/>
                      <w:szCs w:val="28"/>
                    </w:rPr>
                    <w:t>бъекты, ранее не признававшиеся в составе нематериальных активов. Результаты инвентаризации были отражены в бюджетном учете на соответствующих счетах и сделаны соответствующие бухгалтерские проводки.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по состоянию на 01 декабря 2021 г. проведена инвентари</w:t>
                  </w:r>
                  <w:r>
                    <w:rPr>
                      <w:color w:val="000000"/>
                      <w:sz w:val="28"/>
                      <w:szCs w:val="28"/>
                    </w:rPr>
                    <w:t>зация основных средств, в том числе на забалансовом счете, и материальных запасов, числящихся за ответственными лицами. Расхождений не выявлено.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перед составлением годовой отчетности была проведена инвентаризация финансовых активов, обязательств, финансо</w:t>
                  </w:r>
                  <w:r>
                    <w:rPr>
                      <w:color w:val="000000"/>
                      <w:sz w:val="28"/>
                      <w:szCs w:val="28"/>
                    </w:rPr>
                    <w:t>вого результата (доходов будущих периодов, расходов будущих периодов, резервов предстоящих расходов), в том числе на забалансовых счетах, а также имущества в пользовании и основных средств, выданных в личное пользование, по состоянию на 01.01.2022 г. Расхо</w:t>
                  </w:r>
                  <w:r>
                    <w:rPr>
                      <w:color w:val="000000"/>
                      <w:sz w:val="28"/>
                      <w:szCs w:val="28"/>
                    </w:rPr>
                    <w:t>ждений не выявлено.</w:t>
                  </w:r>
                </w:p>
                <w:p w:rsidR="001A5E1A" w:rsidRDefault="0057038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Форма 0503128 «Отчет о принятых бюджетных обязательствах»</w:t>
                  </w:r>
                </w:p>
                <w:p w:rsidR="001A5E1A" w:rsidRDefault="00570383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2021 г. утверждено бюджетных ассигнований и лимитов бюджетных обязательств -  34 227 780,51 руб.</w:t>
                  </w:r>
                </w:p>
                <w:p w:rsidR="001A5E1A" w:rsidRDefault="00570383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2021 году:</w:t>
                  </w:r>
                </w:p>
                <w:p w:rsidR="001A5E1A" w:rsidRDefault="00570383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принято бюджетных обязательств на сумму 33 915 469,04 руб., из н</w:t>
                  </w:r>
                  <w:r>
                    <w:rPr>
                      <w:color w:val="000000"/>
                      <w:sz w:val="28"/>
                      <w:szCs w:val="28"/>
                    </w:rPr>
                    <w:t>их с применением конкурентных способов 1 663 382,10 руб.</w:t>
                  </w:r>
                </w:p>
                <w:p w:rsidR="001A5E1A" w:rsidRDefault="00570383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принято денежных обязательств – 33 915 469,04 руб.</w:t>
                  </w:r>
                </w:p>
                <w:p w:rsidR="001A5E1A" w:rsidRDefault="00570383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исполнено денежных обязательств – 33 915 469,04 руб.         </w:t>
                  </w:r>
                </w:p>
                <w:p w:rsidR="001A5E1A" w:rsidRDefault="00570383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не исполнено принятых: бюджетных обязательств – нет.</w:t>
                  </w:r>
                </w:p>
                <w:p w:rsidR="001A5E1A" w:rsidRDefault="00570383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В 2021 г. на период 2022-20</w:t>
                  </w:r>
                  <w:r>
                    <w:rPr>
                      <w:color w:val="000000"/>
                      <w:sz w:val="28"/>
                      <w:szCs w:val="28"/>
                    </w:rPr>
                    <w:t>24 годов утверждено бюджетных ассигнований и лимитов бюджетных обязательств – 167 857 496,00 руб.</w:t>
                  </w:r>
                </w:p>
                <w:p w:rsidR="001A5E1A" w:rsidRDefault="00570383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принимаемые обязательства (объявлены конкурсные процедуры) на сумму 450 000,00 руб., конкурсные процедуры будут завершены в 2022 году.</w:t>
                  </w:r>
                </w:p>
                <w:p w:rsidR="001A5E1A" w:rsidRDefault="00570383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- принятые бюджетные </w:t>
                  </w:r>
                  <w:r>
                    <w:rPr>
                      <w:color w:val="000000"/>
                      <w:sz w:val="28"/>
                      <w:szCs w:val="28"/>
                    </w:rPr>
                    <w:t>обязательства на сумму 5 542 570,74 руб. в том числе, расходы по отложенным обязательствам (резерв отпусков, резерв пенсий) – 733 821,69 руб.; с применением конкурентных способов – 449 300,00 руб.</w:t>
                  </w:r>
                </w:p>
                <w:p w:rsidR="001A5E1A" w:rsidRDefault="00570383">
                  <w:pPr>
                    <w:ind w:firstLine="52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принято денежных обязательств – 19 600,46 руб.</w:t>
                  </w:r>
                </w:p>
                <w:p w:rsidR="001A5E1A" w:rsidRDefault="0057038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Форма 0503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296 «Сведения об исполнении судебных решений по денежным обязательствам бюджета»</w:t>
                  </w:r>
                </w:p>
                <w:p w:rsidR="001A5E1A" w:rsidRDefault="00570383">
                  <w:pPr>
                    <w:ind w:firstLine="6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За 2021 г. приняты денежные обязательства по судебным решениям в сумме 254 787,04 руб.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Исполнено денежных обязательств по судебным решениям за 2021 г. на сумму 254 787,04 руб.</w:t>
                  </w:r>
                </w:p>
                <w:p w:rsidR="001A5E1A" w:rsidRDefault="0057038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Форма 0503123 «Отчет о движении денежных средств»</w:t>
                  </w:r>
                </w:p>
                <w:p w:rsidR="001A5E1A" w:rsidRDefault="00570383">
                  <w:pPr>
                    <w:spacing w:before="190"/>
                    <w:ind w:firstLine="66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 проверке формы 0503123 «Отчет о движении денежных средств» возникают предупреждения по коду строки 0409 по КОСГУ 129 отражено поступление от использования имущества находящегося в муниципальной собстве</w:t>
                  </w:r>
                  <w:r>
                    <w:rPr>
                      <w:color w:val="000000"/>
                      <w:sz w:val="28"/>
                      <w:szCs w:val="28"/>
                    </w:rPr>
                    <w:t>нности городского поселения (найм муниципального жилья).</w:t>
                  </w:r>
                </w:p>
                <w:p w:rsidR="001A5E1A" w:rsidRDefault="00570383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Забалансовые счета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 счете 02 ведется учет материальных ценностей, принятых на хранение. За 2021 г. приняты на хранение, для дальнейшей утилизации 4 системных блока. Остаток на 01.01.2021 г. составл</w:t>
                  </w:r>
                  <w:r>
                    <w:rPr>
                      <w:color w:val="000000"/>
                      <w:sz w:val="28"/>
                      <w:szCs w:val="28"/>
                    </w:rPr>
                    <w:t>яет 4,00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 счете 03 ведется учет бланков строгой отчетности в стоимостном выражении, 1 бланк-1 рубль. За отчетный период списаны 2 корпоративные карты в связи с истечением срока действия. Остаток по счету на 01.01.2022 г. составил 2 руб., (корпоратив</w:t>
                  </w:r>
                  <w:r>
                    <w:rPr>
                      <w:color w:val="000000"/>
                      <w:sz w:val="28"/>
                      <w:szCs w:val="28"/>
                    </w:rPr>
                    <w:t>ная карта для движения наличных денежных средств – 2 шт.)  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 счете 04 ведется учет сомнительной задолженности. Остаток на конец отчетного периода составил - 1 615 931,49 руб. (налоговые доходы).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 счете 07 ведется учет призов, подарков. Оборот по данному счету составляет 72 324,20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 счете 21 ведется учет ОС стоимостью до 10 тысяч рублей. Приобретено на сумму – 445 749,09 руб. Остаток на 01.01.2022 г. составляет – 1 447 383,96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На счете </w:t>
                  </w:r>
                  <w:r>
                    <w:rPr>
                      <w:color w:val="000000"/>
                      <w:sz w:val="28"/>
                      <w:szCs w:val="28"/>
                    </w:rPr>
                    <w:t>25 ведется учет имущества, переданного в возмездное пользование (аренду). Сальдо по счету на 01.01.2022 г. составляет – 130 472 558,78 руб. в том числе: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– аренда ФГУП "Ростехинвентаризация - Федеральное БТИ" кабинета в здании администрации ул. Кирова д.1а.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(386 267,01 руб.), договор продлен до 27.02.2024 года.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аренда земельных участков, собственность которых не разграничена составляет 87 932 671,82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аренда универсальной спортивной площадки с хоккейными бортами (4 703 947,00 руб.)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аренда МП "Ритуал</w:t>
                  </w:r>
                  <w:r>
                    <w:rPr>
                      <w:color w:val="000000"/>
                      <w:sz w:val="28"/>
                      <w:szCs w:val="28"/>
                    </w:rPr>
                    <w:t>" земельного участка (имущество казны) (740 425,36 руб.), аренда ОЦ «Мечта» земельный участок (имущество казны) кадастровой стоимостью – 4 347 833,05 руб., аренда земельных участков физическими лицами (имущество казны) – 32 361 414,54 руб.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 счете 26 веде</w:t>
                  </w:r>
                  <w:r>
                    <w:rPr>
                      <w:color w:val="000000"/>
                      <w:sz w:val="28"/>
                      <w:szCs w:val="28"/>
                    </w:rPr>
                    <w:t>тся учет имущества, переданного в безвозмездное пользование. Сальдо на 01.01.2022 г. составляет – 303 237,65 руб., безвозмездное пользование кабинетами ул. Кирова, д.1а Управление по архитектуре, градостроительству, имущественным и земельным отношениям Адм</w:t>
                  </w:r>
                  <w:r>
                    <w:rPr>
                      <w:color w:val="000000"/>
                      <w:sz w:val="28"/>
                      <w:szCs w:val="28"/>
                    </w:rPr>
                    <w:t>инистрации Гаврилов-Ямского МР.</w:t>
                  </w:r>
                </w:p>
                <w:p w:rsidR="001A5E1A" w:rsidRDefault="00570383">
                  <w:pPr>
                    <w:ind w:firstLine="700"/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На счете 60 организован аналитический учет в разрезе каждого объекта по взносам на капитальный ремонт. Остаток на конец 2021 г. составляет 7 163 113,92 руб.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Ввиду отсутствия числовых показателей не предоставляются следующие </w:t>
                  </w:r>
                  <w:r>
                    <w:rPr>
                      <w:color w:val="000000"/>
                      <w:sz w:val="28"/>
                      <w:szCs w:val="28"/>
                    </w:rPr>
                    <w:t>формы: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"Сведения об исполнении мероприятий в рамках целевых программ" (ф.0503166),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 "Сведения о целевых иностранных кредитах" (ф.0503167),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"Сведения о государственном (муниципальном) долге, предоставленных бюджетных кредитах" (ф.0503172),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"Сведения об изменении остатков валюты баланса" (ф.0503173 временное распоряжение)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"Сведения об остатках денежных средств на счетах получателя бюджетных средств» (ф.0503178 бюджетная деятельность),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"Справка о суммах консолидируемых поступлений, подле</w:t>
                  </w:r>
                  <w:r>
                    <w:rPr>
                      <w:color w:val="000000"/>
                      <w:sz w:val="28"/>
                      <w:szCs w:val="28"/>
                    </w:rPr>
                    <w:t>жащих зачислению на счет бюджета» (ф.0503184),</w:t>
                  </w:r>
                </w:p>
                <w:p w:rsidR="001A5E1A" w:rsidRDefault="00570383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- "Сведения о вложениях в объекты недвижимого имущества, объектах незавершенного строительства» (ф.0503190).</w:t>
                  </w:r>
                </w:p>
              </w:tc>
            </w:tr>
          </w:tbl>
          <w:p w:rsidR="001A5E1A" w:rsidRDefault="005703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5E1A">
        <w:tc>
          <w:tcPr>
            <w:tcW w:w="24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11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8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15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</w:tbl>
    <w:p w:rsidR="001A5E1A" w:rsidRDefault="001A5E1A">
      <w:pPr>
        <w:rPr>
          <w:vanish/>
        </w:rPr>
      </w:pPr>
      <w:bookmarkStart w:id="3" w:name="__bookmark_4"/>
      <w:bookmarkEnd w:id="3"/>
    </w:p>
    <w:tbl>
      <w:tblPr>
        <w:tblOverlap w:val="never"/>
        <w:tblW w:w="10372" w:type="dxa"/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</w:tblGrid>
      <w:tr w:rsidR="001A5E1A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r>
                    <w:rPr>
                      <w:color w:val="000000"/>
                      <w:sz w:val="28"/>
                      <w:szCs w:val="28"/>
                    </w:rPr>
                    <w:t>Руководитель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А.Н. Тощигин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</w:tblGrid>
            <w:tr w:rsidR="001A5E1A"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E1A" w:rsidRDefault="0057038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1A5E1A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E1A" w:rsidRDefault="001A5E1A">
                  <w:pPr>
                    <w:spacing w:line="1" w:lineRule="auto"/>
                  </w:pPr>
                </w:p>
              </w:tc>
            </w:tr>
            <w:tr w:rsidR="001A5E1A"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</w:tblGrid>
                  <w:tr w:rsidR="001A5E1A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r>
                          <w:rPr>
                            <w:color w:val="000000"/>
                          </w:rPr>
                          <w:t>Сертификат: 5E9C5882F32C7B25489187970A5775CCA13200FF</w:t>
                        </w:r>
                      </w:p>
                      <w:p w:rsidR="001A5E1A" w:rsidRDefault="00570383">
                        <w:r>
                          <w:rPr>
                            <w:color w:val="000000"/>
                          </w:rPr>
                          <w:t>Владелец: Тощигин Александр Николаевич</w:t>
                        </w:r>
                      </w:p>
                      <w:p w:rsidR="001A5E1A" w:rsidRDefault="00570383">
                        <w:r>
                          <w:rPr>
                            <w:color w:val="000000"/>
                          </w:rPr>
                          <w:t>Действителен с 22.11.2021 по 22.02.2023</w:t>
                        </w:r>
                      </w:p>
                    </w:tc>
                  </w:tr>
                </w:tbl>
                <w:p w:rsidR="001A5E1A" w:rsidRDefault="001A5E1A">
                  <w:pPr>
                    <w:spacing w:line="1" w:lineRule="auto"/>
                  </w:pPr>
                </w:p>
              </w:tc>
            </w:tr>
            <w:tr w:rsidR="001A5E1A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r>
                    <w:rPr>
                      <w:color w:val="000000"/>
                      <w:sz w:val="28"/>
                      <w:szCs w:val="28"/>
                    </w:rPr>
                    <w:t>Руководитель планово-экономической службы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М.В. Крестиничева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</w:tblGrid>
            <w:tr w:rsidR="001A5E1A"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E1A" w:rsidRDefault="0057038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1A5E1A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E1A" w:rsidRDefault="001A5E1A">
                  <w:pPr>
                    <w:spacing w:line="1" w:lineRule="auto"/>
                  </w:pPr>
                </w:p>
              </w:tc>
            </w:tr>
            <w:tr w:rsidR="001A5E1A"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</w:tblGrid>
                  <w:tr w:rsidR="001A5E1A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r>
                          <w:rPr>
                            <w:color w:val="000000"/>
                          </w:rPr>
                          <w:t>Сертификат: 00D69FC566E520BA23C65F61BDADAB702C</w:t>
                        </w:r>
                      </w:p>
                      <w:p w:rsidR="001A5E1A" w:rsidRDefault="00570383">
                        <w:r>
                          <w:rPr>
                            <w:color w:val="000000"/>
                          </w:rPr>
                          <w:t>Владелец: Крестиничева Марина Владимировна</w:t>
                        </w:r>
                      </w:p>
                      <w:p w:rsidR="001A5E1A" w:rsidRDefault="00570383">
                        <w:r>
                          <w:rPr>
                            <w:color w:val="000000"/>
                          </w:rPr>
                          <w:t>Действителен с 24.02.2022 по 18.05.2023</w:t>
                        </w:r>
                      </w:p>
                    </w:tc>
                  </w:tr>
                </w:tbl>
                <w:p w:rsidR="001A5E1A" w:rsidRDefault="001A5E1A">
                  <w:pPr>
                    <w:spacing w:line="1" w:lineRule="auto"/>
                  </w:pPr>
                </w:p>
              </w:tc>
            </w:tr>
            <w:tr w:rsidR="001A5E1A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311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311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c>
                <w:tcPr>
                  <w:tcW w:w="311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r>
                    <w:rPr>
                      <w:color w:val="000000"/>
                      <w:sz w:val="28"/>
                      <w:szCs w:val="28"/>
                    </w:rPr>
                    <w:t>Главный бухгалтер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368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tbl>
            <w:tblPr>
              <w:tblOverlap w:val="never"/>
              <w:tblW w:w="36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rPr>
                <w:jc w:val="center"/>
              </w:trPr>
              <w:tc>
                <w:tcPr>
                  <w:tcW w:w="36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М.В. Крестиничева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311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(расшифровка подписи)</w:t>
            </w: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10372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015" w:type="dxa"/>
              <w:tblBorders>
                <w:top w:val="single" w:sz="18" w:space="0" w:color="000000"/>
                <w:left w:val="single" w:sz="18" w:space="0" w:color="000000"/>
                <w:bottom w:val="single" w:sz="18" w:space="0" w:color="000000"/>
                <w:right w:val="single" w:sz="1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</w:tblGrid>
            <w:tr w:rsidR="001A5E1A">
              <w:tc>
                <w:tcPr>
                  <w:tcW w:w="6015" w:type="dxa"/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E1A" w:rsidRDefault="00570383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ДОКУМЕНТ ПОДПИСАН ЭЛЕКТРОННОЙ ПОДПИСЬЮ</w:t>
                  </w:r>
                </w:p>
              </w:tc>
            </w:tr>
            <w:tr w:rsidR="001A5E1A">
              <w:trPr>
                <w:trHeight w:val="105"/>
              </w:trPr>
              <w:tc>
                <w:tcPr>
                  <w:tcW w:w="6015" w:type="dxa"/>
                  <w:gridSpan w:val="6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A5E1A" w:rsidRDefault="001A5E1A">
                  <w:pPr>
                    <w:spacing w:line="1" w:lineRule="auto"/>
                  </w:pPr>
                </w:p>
              </w:tc>
            </w:tr>
            <w:tr w:rsidR="001A5E1A">
              <w:tc>
                <w:tcPr>
                  <w:tcW w:w="6015" w:type="dxa"/>
                  <w:gridSpan w:val="6"/>
                  <w:vMerge w:val="restart"/>
                  <w:tcBorders>
                    <w:right w:val="single" w:sz="1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Overlap w:val="never"/>
                    <w:tblW w:w="601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0"/>
                  </w:tblGrid>
                  <w:tr w:rsidR="001A5E1A">
                    <w:tc>
                      <w:tcPr>
                        <w:tcW w:w="601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1A5E1A" w:rsidRDefault="00570383">
                        <w:r>
                          <w:rPr>
                            <w:color w:val="000000"/>
                          </w:rPr>
                          <w:t>Сертификат: 00D69FC566E520BA23C65F61BDADAB702C</w:t>
                        </w:r>
                      </w:p>
                      <w:p w:rsidR="001A5E1A" w:rsidRDefault="00570383">
                        <w:r>
                          <w:rPr>
                            <w:color w:val="000000"/>
                          </w:rPr>
                          <w:t>Владелец: Крестиничева Марина Владимировна</w:t>
                        </w:r>
                      </w:p>
                      <w:p w:rsidR="001A5E1A" w:rsidRDefault="00570383">
                        <w:r>
                          <w:rPr>
                            <w:color w:val="000000"/>
                          </w:rPr>
                          <w:t>Действителен с 24.02.2022 по 18.05.2023</w:t>
                        </w:r>
                      </w:p>
                    </w:tc>
                  </w:tr>
                </w:tbl>
                <w:p w:rsidR="001A5E1A" w:rsidRDefault="001A5E1A">
                  <w:pPr>
                    <w:spacing w:line="1" w:lineRule="auto"/>
                  </w:pPr>
                </w:p>
              </w:tc>
            </w:tr>
            <w:tr w:rsidR="001A5E1A">
              <w:trPr>
                <w:trHeight w:val="45"/>
              </w:trPr>
              <w:tc>
                <w:tcPr>
                  <w:tcW w:w="99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  <w:tc>
                <w:tcPr>
                  <w:tcW w:w="10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1A5E1A">
                  <w:pPr>
                    <w:spacing w:line="1" w:lineRule="auto"/>
                  </w:pP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8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36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4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9806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98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c>
                <w:tcPr>
                  <w:tcW w:w="98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r>
                    <w:rPr>
                      <w:color w:val="000000"/>
                      <w:sz w:val="28"/>
                      <w:szCs w:val="28"/>
                    </w:rPr>
                    <w:t>22 января 2022 г.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</w:tbl>
    <w:p w:rsidR="001A5E1A" w:rsidRDefault="001A5E1A">
      <w:pPr>
        <w:sectPr w:rsidR="001A5E1A">
          <w:headerReference w:type="default" r:id="rId6"/>
          <w:footerReference w:type="default" r:id="rId7"/>
          <w:pgSz w:w="11905" w:h="16837"/>
          <w:pgMar w:top="1133" w:right="566" w:bottom="1133" w:left="1133" w:header="1133" w:footer="1133" w:gutter="0"/>
          <w:cols w:space="720"/>
        </w:sectPr>
      </w:pPr>
    </w:p>
    <w:p w:rsidR="001A5E1A" w:rsidRDefault="001A5E1A">
      <w:pPr>
        <w:rPr>
          <w:vanish/>
        </w:rPr>
      </w:pPr>
      <w:bookmarkStart w:id="4" w:name="__bookmark_8"/>
      <w:bookmarkEnd w:id="4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A5E1A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№3</w:t>
            </w: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</w:tr>
      <w:tr w:rsidR="001A5E1A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10094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Сведения об исполнении текстовых статей</w:t>
            </w:r>
            <w:r>
              <w:rPr>
                <w:b/>
                <w:bCs/>
                <w:color w:val="000000"/>
                <w:sz w:val="28"/>
                <w:szCs w:val="28"/>
              </w:rPr>
              <w:br/>
              <w:t>закона (решения) о бюджете</w:t>
            </w: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</w:tr>
      <w:tr w:rsidR="001A5E1A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</w:tr>
      <w:tr w:rsidR="001A5E1A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статьи закона (решения) о бюджете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Результат исполнения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Причины неисполнения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</w:tr>
      <w:tr w:rsidR="001A5E1A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</w:tr>
      <w:tr w:rsidR="001A5E1A"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Муниципального Совета городского поселения Гаврилов-Ям от 15.12.2020г. № 68 «О бюджете городского поселения Гаврилов-Ям на 2021 год и на плановый период 2022-2023 годов»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бюджета </w:t>
            </w:r>
            <w:r>
              <w:rPr>
                <w:color w:val="000000"/>
                <w:sz w:val="28"/>
                <w:szCs w:val="28"/>
              </w:rPr>
              <w:br/>
              <w:t>за 2021 год  исполнены в сумме  118 018 тыс.рублей,</w:t>
            </w:r>
            <w:r>
              <w:rPr>
                <w:color w:val="000000"/>
                <w:sz w:val="28"/>
                <w:szCs w:val="28"/>
              </w:rPr>
              <w:br/>
              <w:t>что сост</w:t>
            </w:r>
            <w:r>
              <w:rPr>
                <w:color w:val="000000"/>
                <w:sz w:val="28"/>
                <w:szCs w:val="28"/>
              </w:rPr>
              <w:t>авляет 101% к годовому утвержденному плану;</w:t>
            </w:r>
            <w:r>
              <w:rPr>
                <w:color w:val="000000"/>
                <w:sz w:val="28"/>
                <w:szCs w:val="28"/>
              </w:rPr>
              <w:br/>
              <w:t xml:space="preserve">налоговых и неналоговых доходов поступило 52 935  тыс. рублей , что составляет 107% к годовому утвержденному плану. </w:t>
            </w:r>
            <w:r>
              <w:rPr>
                <w:color w:val="000000"/>
                <w:sz w:val="28"/>
                <w:szCs w:val="28"/>
              </w:rPr>
              <w:br/>
              <w:t>По безвозмездным поступлениям бюджет исполнен на 97%.</w:t>
            </w:r>
            <w:r>
              <w:rPr>
                <w:color w:val="000000"/>
                <w:sz w:val="28"/>
                <w:szCs w:val="28"/>
              </w:rPr>
              <w:br/>
              <w:t>Расходы за 2021 год исполнены в сумме 113</w:t>
            </w:r>
            <w:r>
              <w:rPr>
                <w:color w:val="000000"/>
                <w:sz w:val="28"/>
                <w:szCs w:val="28"/>
              </w:rPr>
              <w:t xml:space="preserve"> 928 тыс.рублей, что составляет 98% к годовому утвержденному плану.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329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Невыполнение расходной части бюджета связано с экономией в результате проведения конкурентных процедур.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32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</w:tbl>
    <w:p w:rsidR="001A5E1A" w:rsidRDefault="001A5E1A">
      <w:pPr>
        <w:sectPr w:rsidR="001A5E1A">
          <w:headerReference w:type="default" r:id="rId8"/>
          <w:footerReference w:type="default" r:id="rId9"/>
          <w:pgSz w:w="11905" w:h="16837"/>
          <w:pgMar w:top="1133" w:right="566" w:bottom="1133" w:left="1133" w:header="1133" w:footer="1133" w:gutter="0"/>
          <w:cols w:space="720"/>
        </w:sectPr>
      </w:pPr>
    </w:p>
    <w:p w:rsidR="001A5E1A" w:rsidRDefault="001A5E1A">
      <w:pPr>
        <w:rPr>
          <w:vanish/>
        </w:rPr>
      </w:pPr>
      <w:bookmarkStart w:id="5" w:name="__bookmark_10"/>
      <w:bookmarkEnd w:id="5"/>
    </w:p>
    <w:tbl>
      <w:tblPr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A5E1A"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№4</w:t>
            </w:r>
          </w:p>
        </w:tc>
        <w:tc>
          <w:tcPr>
            <w:tcW w:w="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</w:tr>
      <w:tr w:rsidR="001A5E1A">
        <w:tc>
          <w:tcPr>
            <w:tcW w:w="10148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Сведения об основных положениях учетной политики</w:t>
            </w:r>
          </w:p>
        </w:tc>
        <w:tc>
          <w:tcPr>
            <w:tcW w:w="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</w:tr>
      <w:tr w:rsidR="001A5E1A"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</w:tr>
      <w:tr w:rsidR="001A5E1A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объекта учета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 счета бюджетного учета</w:t>
            </w: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Способ ведения бюджетного учета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Характеристика применяемого способа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</w:tr>
      <w:tr w:rsidR="001A5E1A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  <w:jc w:val="center"/>
            </w:pPr>
          </w:p>
        </w:tc>
      </w:tr>
      <w:tr w:rsidR="001A5E1A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Бланки строгой отчетности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1 00003000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условной оценке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Награды, призы, кубки и ценные подарки, сувениры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1 00007000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 стоимости приобретения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средства стоимостью до 10000 рублей включительно в эксплуатации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1 00021000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Учет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балансовой стоимости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средства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1 10100000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Определение срока полезного использования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Исходя из ожидаемого срока получения экономических выгод и (или) полезного потенциала, заключенных в активе, признаваемом объектом основных средств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Основные средства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1 10100000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к учету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первоначальной стоимости, по справедливой стоимости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Непроизведенные активы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1 10300000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к учету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кадастровой стоимости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Амортизация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1 10400000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Методы начисления амортизации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Линейный метод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Материальные запасы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1 10500000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к учету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фактической стоимости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Нефинансовые активы имущества казны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1 10500000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к учету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фактической стоимости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Непроизведенные активы, составляющие казну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249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0"/>
            </w:tblGrid>
            <w:tr w:rsidR="001A5E1A">
              <w:trPr>
                <w:jc w:val="center"/>
              </w:trPr>
              <w:tc>
                <w:tcPr>
                  <w:tcW w:w="249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A5E1A" w:rsidRDefault="00570383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1 10500000</w:t>
                  </w:r>
                </w:p>
              </w:tc>
            </w:tr>
          </w:tbl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к учету</w:t>
            </w:r>
          </w:p>
        </w:tc>
        <w:tc>
          <w:tcPr>
            <w:tcW w:w="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кадастровой стоимости</w:t>
            </w:r>
          </w:p>
        </w:tc>
        <w:tc>
          <w:tcPr>
            <w:tcW w:w="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  <w:tr w:rsidR="001A5E1A"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57038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24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  <w:tc>
          <w:tcPr>
            <w:tcW w:w="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1A" w:rsidRDefault="001A5E1A">
            <w:pPr>
              <w:spacing w:line="1" w:lineRule="auto"/>
            </w:pPr>
          </w:p>
        </w:tc>
      </w:tr>
    </w:tbl>
    <w:p w:rsidR="00000000" w:rsidRDefault="00570383"/>
    <w:sectPr w:rsidR="00000000" w:rsidSect="001A5E1A">
      <w:headerReference w:type="default" r:id="rId10"/>
      <w:footerReference w:type="default" r:id="rId11"/>
      <w:pgSz w:w="11905" w:h="16837"/>
      <w:pgMar w:top="1133" w:right="566" w:bottom="1133" w:left="1133" w:header="1133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E1A" w:rsidRDefault="001A5E1A" w:rsidP="001A5E1A">
      <w:r>
        <w:separator/>
      </w:r>
    </w:p>
  </w:endnote>
  <w:endnote w:type="continuationSeparator" w:id="0">
    <w:p w:rsidR="001A5E1A" w:rsidRDefault="001A5E1A" w:rsidP="001A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A5E1A">
      <w:trPr>
        <w:trHeight w:val="56"/>
      </w:trPr>
      <w:tc>
        <w:tcPr>
          <w:tcW w:w="10421" w:type="dxa"/>
        </w:tcPr>
        <w:p w:rsidR="001A5E1A" w:rsidRDefault="001A5E1A">
          <w:pPr>
            <w:spacing w:line="1" w:lineRule="auto"/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360"/>
    </w:tblGrid>
    <w:tr w:rsidR="001A5E1A">
      <w:trPr>
        <w:trHeight w:val="56"/>
      </w:trPr>
      <w:tc>
        <w:tcPr>
          <w:tcW w:w="10421" w:type="dxa"/>
        </w:tcPr>
        <w:p w:rsidR="001A5E1A" w:rsidRDefault="001A5E1A">
          <w:pPr>
            <w:spacing w:line="1" w:lineRule="auto"/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360"/>
    </w:tblGrid>
    <w:tr w:rsidR="001A5E1A">
      <w:trPr>
        <w:trHeight w:val="56"/>
      </w:trPr>
      <w:tc>
        <w:tcPr>
          <w:tcW w:w="10421" w:type="dxa"/>
        </w:tcPr>
        <w:p w:rsidR="001A5E1A" w:rsidRDefault="001A5E1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E1A" w:rsidRDefault="001A5E1A" w:rsidP="001A5E1A">
      <w:r>
        <w:separator/>
      </w:r>
    </w:p>
  </w:footnote>
  <w:footnote w:type="continuationSeparator" w:id="0">
    <w:p w:rsidR="001A5E1A" w:rsidRDefault="001A5E1A" w:rsidP="001A5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1A5E1A">
      <w:trPr>
        <w:trHeight w:val="56"/>
      </w:trPr>
      <w:tc>
        <w:tcPr>
          <w:tcW w:w="10421" w:type="dxa"/>
        </w:tcPr>
        <w:p w:rsidR="001A5E1A" w:rsidRDefault="001A5E1A">
          <w:pPr>
            <w:spacing w:line="1" w:lineRule="auto"/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360"/>
    </w:tblGrid>
    <w:tr w:rsidR="001A5E1A">
      <w:trPr>
        <w:trHeight w:val="56"/>
      </w:trPr>
      <w:tc>
        <w:tcPr>
          <w:tcW w:w="10421" w:type="dxa"/>
        </w:tcPr>
        <w:p w:rsidR="001A5E1A" w:rsidRDefault="001A5E1A">
          <w:pPr>
            <w:spacing w:line="1" w:lineRule="auto"/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360"/>
    </w:tblGrid>
    <w:tr w:rsidR="001A5E1A">
      <w:trPr>
        <w:trHeight w:val="56"/>
      </w:trPr>
      <w:tc>
        <w:tcPr>
          <w:tcW w:w="10421" w:type="dxa"/>
        </w:tcPr>
        <w:p w:rsidR="001A5E1A" w:rsidRDefault="001A5E1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1A"/>
    <w:rsid w:val="001A5E1A"/>
    <w:rsid w:val="0057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C4D6C-AAA4-4E32-99E3-DF022307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1A5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7040</Words>
  <Characters>40133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2023-04-05T12:34:00Z</dcterms:created>
  <dcterms:modified xsi:type="dcterms:W3CDTF">2023-04-05T12:34:00Z</dcterms:modified>
</cp:coreProperties>
</file>